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DB81" w14:textId="3B11A8FF" w:rsidR="00D05D30" w:rsidRPr="00D05D30" w:rsidRDefault="00D05D30" w:rsidP="001F6E23">
      <w:pPr>
        <w:pStyle w:val="Header"/>
        <w:ind w:left="-115"/>
        <w:jc w:val="center"/>
        <w:rPr>
          <w:rFonts w:ascii="Arial" w:hAnsi="Arial" w:cs="Arial"/>
          <w:b/>
          <w:sz w:val="24"/>
        </w:rPr>
      </w:pPr>
      <w:r w:rsidRPr="00D05D30">
        <w:rPr>
          <w:rFonts w:ascii="Arial" w:hAnsi="Arial" w:cs="Arial"/>
          <w:b/>
          <w:sz w:val="24"/>
        </w:rPr>
        <w:t>JSU School of Education</w:t>
      </w:r>
      <w:r w:rsidR="320A018C" w:rsidRPr="00D05D30">
        <w:rPr>
          <w:rFonts w:ascii="Arial" w:hAnsi="Arial" w:cs="Arial"/>
          <w:b/>
          <w:sz w:val="24"/>
        </w:rPr>
        <w:t xml:space="preserve"> </w:t>
      </w:r>
    </w:p>
    <w:p w14:paraId="58CA07D3" w14:textId="4B787046" w:rsidR="3062CDE5" w:rsidRDefault="320A018C" w:rsidP="001F6E23">
      <w:pPr>
        <w:pStyle w:val="Header"/>
        <w:ind w:left="-115"/>
        <w:jc w:val="center"/>
        <w:rPr>
          <w:rFonts w:ascii="Arial" w:hAnsi="Arial" w:cs="Arial"/>
          <w:b/>
          <w:sz w:val="24"/>
        </w:rPr>
      </w:pPr>
      <w:r w:rsidRPr="00D05D30">
        <w:rPr>
          <w:rFonts w:ascii="Arial" w:hAnsi="Arial" w:cs="Arial"/>
          <w:b/>
          <w:sz w:val="24"/>
        </w:rPr>
        <w:t>EPP- Wide Common Lesson Planning Rubric</w:t>
      </w:r>
      <w:r w:rsidR="001F6E23" w:rsidRPr="00D05D30">
        <w:rPr>
          <w:rFonts w:ascii="Arial" w:hAnsi="Arial" w:cs="Arial"/>
          <w:b/>
          <w:sz w:val="24"/>
        </w:rPr>
        <w:t xml:space="preserve"> </w:t>
      </w:r>
      <w:r w:rsidR="00D05D30" w:rsidRPr="00D05D30">
        <w:rPr>
          <w:rFonts w:ascii="Arial" w:hAnsi="Arial" w:cs="Arial"/>
          <w:b/>
          <w:sz w:val="24"/>
        </w:rPr>
        <w:t xml:space="preserve">+ Common Observation Rubric </w:t>
      </w:r>
      <w:r w:rsidR="001F6E23" w:rsidRPr="00D05D30">
        <w:rPr>
          <w:rFonts w:ascii="Arial" w:hAnsi="Arial" w:cs="Arial"/>
          <w:b/>
          <w:sz w:val="24"/>
        </w:rPr>
        <w:t>(CLP</w:t>
      </w:r>
      <w:r w:rsidR="00D05D30" w:rsidRPr="00D05D30">
        <w:rPr>
          <w:rFonts w:ascii="Arial" w:hAnsi="Arial" w:cs="Arial"/>
          <w:b/>
          <w:sz w:val="24"/>
        </w:rPr>
        <w:t xml:space="preserve"> + COBS</w:t>
      </w:r>
      <w:r w:rsidR="001F6E23" w:rsidRPr="00D05D30">
        <w:rPr>
          <w:rFonts w:ascii="Arial" w:hAnsi="Arial" w:cs="Arial"/>
          <w:b/>
          <w:sz w:val="24"/>
        </w:rPr>
        <w:t>)</w:t>
      </w:r>
    </w:p>
    <w:p w14:paraId="6677FA9B" w14:textId="23D5E999" w:rsidR="00D05D30" w:rsidRDefault="00D05D30" w:rsidP="001F6E23">
      <w:pPr>
        <w:pStyle w:val="Header"/>
        <w:ind w:left="-115"/>
        <w:jc w:val="center"/>
        <w:rPr>
          <w:rFonts w:ascii="Arial" w:hAnsi="Arial" w:cs="Arial"/>
          <w:b/>
          <w:sz w:val="24"/>
        </w:rPr>
      </w:pPr>
    </w:p>
    <w:p w14:paraId="606F4B87" w14:textId="5897265B" w:rsidR="00D05D30" w:rsidRPr="00D05D30" w:rsidRDefault="00D05D30" w:rsidP="00D05D30">
      <w:pPr>
        <w:pStyle w:val="Header"/>
        <w:ind w:left="-115"/>
        <w:rPr>
          <w:rFonts w:ascii="Arial" w:hAnsi="Arial" w:cs="Arial"/>
          <w:sz w:val="24"/>
        </w:rPr>
      </w:pPr>
      <w:r>
        <w:rPr>
          <w:rFonts w:ascii="Arial" w:hAnsi="Arial" w:cs="Arial"/>
          <w:sz w:val="24"/>
        </w:rPr>
        <w:t xml:space="preserve">The Common Lesson Planning Rubric (CLP) + Common Observation Rubric (COBS) were developed to measure teacher candidate skills in planning and teaching lessons. The rubrics are designed to be used in tandem for an instructional episode. The CLP is used to assess how the teacher candidate uses information about students to plan standards-based lessons that include the elements common to all teaching fields: Standards-Based Instruction, Prior Knowledge, Differentiation, Academic Language, Assessment, and Technology. The companion rubric, COBS, is used to assess how the teacher candidate </w:t>
      </w:r>
      <w:r w:rsidR="00EB0F6D">
        <w:rPr>
          <w:rFonts w:ascii="Arial" w:hAnsi="Arial" w:cs="Arial"/>
          <w:sz w:val="24"/>
        </w:rPr>
        <w:t xml:space="preserve">applies the planning to create a Learning Environment that uses Prior Knowledge, Differentiation, Academic Language, Assessment, and Technology to advance P-12 student learning. The CLP + COBS may be used for formative assessment in any clinical setting. The CLP + COBS is required as a recorded assessment at least once during each clinical placement for practicum and internship at the initial certification level. Teacher Candidates are expected to score at least proficient in all elements prior to program completion. </w:t>
      </w:r>
    </w:p>
    <w:p w14:paraId="01BE7783" w14:textId="2CCFAC34" w:rsidR="00D05D30" w:rsidRPr="00D05D30" w:rsidRDefault="003311D8" w:rsidP="001F6E23">
      <w:pPr>
        <w:pStyle w:val="Header"/>
        <w:ind w:left="-115"/>
        <w:jc w:val="center"/>
        <w:rPr>
          <w:rFonts w:ascii="Arial" w:hAnsi="Arial" w:cs="Arial"/>
          <w:sz w:val="24"/>
        </w:rPr>
      </w:pPr>
      <w:r>
        <w:rPr>
          <w:rFonts w:ascii="Arial" w:hAnsi="Arial" w:cs="Arial"/>
          <w:sz w:val="24"/>
        </w:rPr>
        <w:t xml:space="preserve">                                                                                                                 </w:t>
      </w:r>
    </w:p>
    <w:p w14:paraId="75401B8C" w14:textId="3F2B6235" w:rsidR="00D05D30" w:rsidRPr="00D05D30" w:rsidRDefault="00D05D30" w:rsidP="00D05D30">
      <w:pPr>
        <w:pStyle w:val="Header"/>
        <w:tabs>
          <w:tab w:val="center" w:pos="6422"/>
        </w:tabs>
        <w:ind w:left="-115"/>
        <w:rPr>
          <w:sz w:val="24"/>
        </w:rPr>
      </w:pPr>
      <w:r w:rsidRPr="00D05D30">
        <w:rPr>
          <w:rFonts w:ascii="Arial" w:hAnsi="Arial" w:cs="Arial"/>
          <w:sz w:val="24"/>
        </w:rPr>
        <w:t>Lesson Planning</w:t>
      </w:r>
      <w:r w:rsidRPr="00D05D30">
        <w:rPr>
          <w:sz w:val="24"/>
        </w:rPr>
        <w:tab/>
      </w:r>
      <w:r w:rsidRPr="00D05D30">
        <w:rPr>
          <w:sz w:val="24"/>
        </w:rPr>
        <w:tab/>
      </w:r>
    </w:p>
    <w:tbl>
      <w:tblPr>
        <w:tblStyle w:val="TableGrid"/>
        <w:tblW w:w="13590" w:type="dxa"/>
        <w:tblInd w:w="-455" w:type="dxa"/>
        <w:tblLook w:val="04A0" w:firstRow="1" w:lastRow="0" w:firstColumn="1" w:lastColumn="0" w:noHBand="0" w:noVBand="1"/>
      </w:tblPr>
      <w:tblGrid>
        <w:gridCol w:w="1850"/>
        <w:gridCol w:w="2575"/>
        <w:gridCol w:w="2575"/>
        <w:gridCol w:w="2575"/>
        <w:gridCol w:w="2575"/>
        <w:gridCol w:w="1440"/>
      </w:tblGrid>
      <w:tr w:rsidR="00D05D30" w:rsidRPr="00D05D30" w14:paraId="25362208" w14:textId="77777777" w:rsidTr="00D05D30">
        <w:trPr>
          <w:tblHeader/>
        </w:trPr>
        <w:tc>
          <w:tcPr>
            <w:tcW w:w="1850" w:type="dxa"/>
          </w:tcPr>
          <w:p w14:paraId="4F00E0A6" w14:textId="77777777" w:rsidR="00D05D30" w:rsidRPr="00D05D30" w:rsidRDefault="00D05D30" w:rsidP="00E77B9E">
            <w:pPr>
              <w:pStyle w:val="NoSpacing"/>
            </w:pPr>
          </w:p>
        </w:tc>
        <w:tc>
          <w:tcPr>
            <w:tcW w:w="2575" w:type="dxa"/>
          </w:tcPr>
          <w:p w14:paraId="6FB728E7" w14:textId="77777777" w:rsidR="00D05D30" w:rsidRPr="00D05D30" w:rsidRDefault="00D05D30" w:rsidP="00E77B9E">
            <w:pPr>
              <w:pStyle w:val="NoSpacing"/>
            </w:pPr>
            <w:r w:rsidRPr="00D05D30">
              <w:t xml:space="preserve">Exceptional (4) </w:t>
            </w:r>
          </w:p>
        </w:tc>
        <w:tc>
          <w:tcPr>
            <w:tcW w:w="2575" w:type="dxa"/>
          </w:tcPr>
          <w:p w14:paraId="60A915A2" w14:textId="7D8B8991" w:rsidR="00D05D30" w:rsidRPr="00D05D30" w:rsidRDefault="00D05D30" w:rsidP="00E77B9E">
            <w:pPr>
              <w:pStyle w:val="NoSpacing"/>
            </w:pPr>
            <w:r w:rsidRPr="00D05D30">
              <w:t xml:space="preserve">Proficient (3) </w:t>
            </w:r>
          </w:p>
        </w:tc>
        <w:tc>
          <w:tcPr>
            <w:tcW w:w="2575" w:type="dxa"/>
          </w:tcPr>
          <w:p w14:paraId="51AFE176" w14:textId="77777777" w:rsidR="00D05D30" w:rsidRPr="00D05D30" w:rsidRDefault="00D05D30" w:rsidP="00E77B9E">
            <w:pPr>
              <w:pStyle w:val="NoSpacing"/>
            </w:pPr>
            <w:r w:rsidRPr="00D05D30">
              <w:t>Developing (2)</w:t>
            </w:r>
          </w:p>
        </w:tc>
        <w:tc>
          <w:tcPr>
            <w:tcW w:w="2575" w:type="dxa"/>
          </w:tcPr>
          <w:p w14:paraId="63693E23" w14:textId="77777777" w:rsidR="00D05D30" w:rsidRPr="00D05D30" w:rsidRDefault="00D05D30" w:rsidP="00E77B9E">
            <w:pPr>
              <w:pStyle w:val="NoSpacing"/>
            </w:pPr>
            <w:r w:rsidRPr="00D05D30">
              <w:t xml:space="preserve">Unacceptable (1) </w:t>
            </w:r>
          </w:p>
        </w:tc>
        <w:tc>
          <w:tcPr>
            <w:tcW w:w="1440" w:type="dxa"/>
          </w:tcPr>
          <w:p w14:paraId="5781AF7D" w14:textId="77777777" w:rsidR="00D05D30" w:rsidRPr="00D05D30" w:rsidRDefault="00D05D30" w:rsidP="00E77B9E">
            <w:pPr>
              <w:pStyle w:val="NoSpacing"/>
            </w:pPr>
            <w:r w:rsidRPr="00D05D30">
              <w:t xml:space="preserve">Not Applicable </w:t>
            </w:r>
          </w:p>
        </w:tc>
      </w:tr>
      <w:tr w:rsidR="00D05D30" w:rsidRPr="00D05D30" w14:paraId="63714744" w14:textId="77777777" w:rsidTr="00D05D30">
        <w:tc>
          <w:tcPr>
            <w:tcW w:w="1850" w:type="dxa"/>
          </w:tcPr>
          <w:p w14:paraId="7A3E57C5" w14:textId="16373ABE"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Standards-based Instruction </w:t>
            </w:r>
          </w:p>
          <w:p w14:paraId="2C3E2D6A" w14:textId="121B4BCF" w:rsidR="00D05D30" w:rsidRPr="00D05D30" w:rsidRDefault="00D05D30" w:rsidP="3062CDE5">
            <w:pPr>
              <w:rPr>
                <w:rFonts w:eastAsiaTheme="minorEastAsia"/>
                <w:color w:val="000000" w:themeColor="text1"/>
              </w:rPr>
            </w:pPr>
            <w:r w:rsidRPr="00D05D30">
              <w:rPr>
                <w:rFonts w:eastAsiaTheme="minorEastAsia"/>
                <w:color w:val="000000" w:themeColor="text1"/>
              </w:rPr>
              <w:t>JSU LO #2, #6</w:t>
            </w:r>
          </w:p>
          <w:p w14:paraId="54687C31" w14:textId="2474FEE4" w:rsidR="00D05D30" w:rsidRPr="00D05D30" w:rsidRDefault="00D05D30" w:rsidP="3062CDE5">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1, 7, 8 </w:t>
            </w:r>
          </w:p>
          <w:p w14:paraId="37632DBF" w14:textId="758AB757" w:rsidR="00D05D30" w:rsidRPr="00D05D30" w:rsidRDefault="00D05D30" w:rsidP="3062CDE5">
            <w:pPr>
              <w:rPr>
                <w:rFonts w:eastAsiaTheme="minorEastAsia"/>
                <w:color w:val="000000" w:themeColor="text1"/>
              </w:rPr>
            </w:pPr>
            <w:r w:rsidRPr="00D05D30">
              <w:rPr>
                <w:rFonts w:eastAsiaTheme="minorEastAsia"/>
                <w:color w:val="000000" w:themeColor="text1"/>
              </w:rPr>
              <w:t xml:space="preserve">CAEP 1.1, 1.2, 1.3, 1.4, 2.3 </w:t>
            </w:r>
          </w:p>
          <w:p w14:paraId="426605AC" w14:textId="77777777" w:rsidR="00D05D30" w:rsidRPr="00D05D30" w:rsidRDefault="00D05D30" w:rsidP="3062CDE5">
            <w:pPr>
              <w:rPr>
                <w:rFonts w:eastAsiaTheme="minorEastAsia"/>
                <w:color w:val="000000" w:themeColor="text1"/>
              </w:rPr>
            </w:pPr>
          </w:p>
          <w:p w14:paraId="4D971752" w14:textId="6CD780A6" w:rsidR="00D05D30" w:rsidRPr="00D05D30" w:rsidRDefault="00D05D30" w:rsidP="00E77B9E">
            <w:pPr>
              <w:pStyle w:val="NoSpacing"/>
            </w:pPr>
            <w:r w:rsidRPr="00D05D30">
              <w:t xml:space="preserve"> </w:t>
            </w:r>
          </w:p>
        </w:tc>
        <w:tc>
          <w:tcPr>
            <w:tcW w:w="2575" w:type="dxa"/>
          </w:tcPr>
          <w:p w14:paraId="38668705" w14:textId="77D8E9B4" w:rsidR="00D05D30" w:rsidRPr="00D05D30" w:rsidRDefault="00D05D30" w:rsidP="004B33C0">
            <w:pPr>
              <w:pStyle w:val="NoSpacing"/>
            </w:pPr>
            <w:r w:rsidRPr="00D05D30">
              <w:t>Plan includes learning objectives with aligned activities that are clearly articulated throughout the plan and aligned to curriculum goals and content standards (AL College &amp; Career Ready Standards, Alabama Course of Study)</w:t>
            </w:r>
          </w:p>
        </w:tc>
        <w:tc>
          <w:tcPr>
            <w:tcW w:w="2575" w:type="dxa"/>
          </w:tcPr>
          <w:p w14:paraId="5056A9AD" w14:textId="7C29FEF8" w:rsidR="00D05D30" w:rsidRPr="00D05D30" w:rsidRDefault="00D05D30" w:rsidP="004B33C0">
            <w:pPr>
              <w:pStyle w:val="NoSpacing"/>
            </w:pPr>
            <w:r w:rsidRPr="00D05D30">
              <w:t>Plan includes learning objectives with activities that are sufficiently connected throughout the plan with stated curriculum goals and content standards (AL College &amp; Career Ready Standards, Alabama Course of Study)</w:t>
            </w:r>
          </w:p>
        </w:tc>
        <w:tc>
          <w:tcPr>
            <w:tcW w:w="2575" w:type="dxa"/>
          </w:tcPr>
          <w:p w14:paraId="27B82A0A" w14:textId="77777777" w:rsidR="00D05D30" w:rsidRPr="00D05D30" w:rsidRDefault="00D05D30" w:rsidP="004B33C0">
            <w:pPr>
              <w:pStyle w:val="NoSpacing"/>
            </w:pPr>
            <w:r w:rsidRPr="00D05D30">
              <w:t>Plan includes learning objectives with vague activities that are loosely connected throughout the plan with stated curriculum goals and content standards</w:t>
            </w:r>
          </w:p>
          <w:p w14:paraId="5F319374" w14:textId="6C42E203" w:rsidR="00D05D30" w:rsidRPr="00D05D30" w:rsidRDefault="00D05D30" w:rsidP="004B33C0">
            <w:pPr>
              <w:pStyle w:val="NoSpacing"/>
            </w:pPr>
            <w:r w:rsidRPr="00D05D30">
              <w:t>(AL College &amp; Career Ready Standards, Alabama Course of Study)</w:t>
            </w:r>
          </w:p>
        </w:tc>
        <w:tc>
          <w:tcPr>
            <w:tcW w:w="2575" w:type="dxa"/>
          </w:tcPr>
          <w:p w14:paraId="0BF2B078" w14:textId="16D24773" w:rsidR="00D05D30" w:rsidRPr="00D05D30" w:rsidRDefault="00D05D30" w:rsidP="0040447E">
            <w:pPr>
              <w:pStyle w:val="NoSpacing"/>
            </w:pPr>
            <w:r w:rsidRPr="00D05D30">
              <w:t>Plan fails to include learning objectives with defined activities tied to specific curriculum goals and content standards (AL College &amp; Career Ready Standards, Alabama Course of Study)</w:t>
            </w:r>
          </w:p>
        </w:tc>
        <w:tc>
          <w:tcPr>
            <w:tcW w:w="1440" w:type="dxa"/>
          </w:tcPr>
          <w:p w14:paraId="7868B193" w14:textId="77777777" w:rsidR="00D05D30" w:rsidRPr="00D05D30" w:rsidRDefault="00D05D30" w:rsidP="00E77B9E">
            <w:pPr>
              <w:pStyle w:val="NoSpacing"/>
            </w:pPr>
          </w:p>
        </w:tc>
      </w:tr>
      <w:tr w:rsidR="00D05D30" w:rsidRPr="00D05D30" w14:paraId="356A8E9B" w14:textId="77777777" w:rsidTr="00D05D30">
        <w:tc>
          <w:tcPr>
            <w:tcW w:w="1850" w:type="dxa"/>
          </w:tcPr>
          <w:p w14:paraId="661B9226" w14:textId="79756916" w:rsidR="00D05D30" w:rsidRPr="00D05D30" w:rsidRDefault="00D05D30" w:rsidP="320A018C">
            <w:pPr>
              <w:rPr>
                <w:rFonts w:eastAsiaTheme="minorEastAsia"/>
                <w:color w:val="000000" w:themeColor="text1"/>
              </w:rPr>
            </w:pPr>
            <w:r w:rsidRPr="00D05D30">
              <w:rPr>
                <w:rFonts w:eastAsiaTheme="minorEastAsia"/>
                <w:color w:val="000000" w:themeColor="text1"/>
                <w:sz w:val="24"/>
                <w:szCs w:val="24"/>
              </w:rPr>
              <w:t xml:space="preserve">Prior Knowledge </w:t>
            </w:r>
          </w:p>
          <w:p w14:paraId="24E720C0" w14:textId="21B8D044" w:rsidR="00D05D30" w:rsidRPr="00D05D30" w:rsidRDefault="00D05D30" w:rsidP="320A018C">
            <w:pPr>
              <w:rPr>
                <w:rFonts w:eastAsiaTheme="minorEastAsia"/>
                <w:color w:val="000000" w:themeColor="text1"/>
              </w:rPr>
            </w:pPr>
            <w:r w:rsidRPr="00D05D30">
              <w:rPr>
                <w:rFonts w:eastAsiaTheme="minorEastAsia"/>
                <w:color w:val="000000" w:themeColor="text1"/>
              </w:rPr>
              <w:t>JSU LO #4, #6</w:t>
            </w:r>
          </w:p>
          <w:p w14:paraId="1E52BD03" w14:textId="748B4B6C" w:rsidR="00D05D30" w:rsidRPr="00D05D30" w:rsidRDefault="00D05D30" w:rsidP="320A018C">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2, 3 </w:t>
            </w:r>
          </w:p>
          <w:p w14:paraId="174BE667" w14:textId="7087BDD7" w:rsidR="00D05D30" w:rsidRPr="00D05D30" w:rsidRDefault="00D05D30" w:rsidP="320A018C">
            <w:pPr>
              <w:rPr>
                <w:rFonts w:eastAsiaTheme="minorEastAsia"/>
                <w:color w:val="000000" w:themeColor="text1"/>
              </w:rPr>
            </w:pPr>
            <w:r w:rsidRPr="00D05D30">
              <w:rPr>
                <w:rFonts w:eastAsiaTheme="minorEastAsia"/>
                <w:color w:val="000000" w:themeColor="text1"/>
              </w:rPr>
              <w:t xml:space="preserve">CAEP 1.1, 1.2, 1.3, 1.4, 2.3 </w:t>
            </w:r>
          </w:p>
          <w:p w14:paraId="6E551B3D" w14:textId="1ED97435" w:rsidR="00D05D30" w:rsidRPr="00D05D30" w:rsidRDefault="00D05D30" w:rsidP="320A018C">
            <w:pPr>
              <w:rPr>
                <w:rFonts w:eastAsiaTheme="minorEastAsia"/>
                <w:color w:val="000000" w:themeColor="text1"/>
              </w:rPr>
            </w:pPr>
            <w:r w:rsidRPr="00D05D30">
              <w:rPr>
                <w:rFonts w:eastAsiaTheme="minorEastAsia"/>
                <w:color w:val="000000" w:themeColor="text1"/>
              </w:rPr>
              <w:t xml:space="preserve">CAEP CCT: Diversity </w:t>
            </w:r>
          </w:p>
          <w:p w14:paraId="393B4EC3" w14:textId="03AF83EF" w:rsidR="00D05D30" w:rsidRPr="00D05D30" w:rsidRDefault="00D05D30" w:rsidP="00830985"/>
        </w:tc>
        <w:tc>
          <w:tcPr>
            <w:tcW w:w="2575" w:type="dxa"/>
          </w:tcPr>
          <w:p w14:paraId="33496EAD" w14:textId="77777777" w:rsidR="00D05D30" w:rsidRPr="00D05D30" w:rsidRDefault="00D05D30" w:rsidP="0055588E">
            <w:pPr>
              <w:pStyle w:val="NoSpacing"/>
            </w:pPr>
            <w:r w:rsidRPr="00D05D30">
              <w:lastRenderedPageBreak/>
              <w:t xml:space="preserve">Plan includes specific connections to learners’ prior knowledge and experiences with planned opportunity to connect it to the current learning objectives, including use </w:t>
            </w:r>
            <w:r w:rsidRPr="00D05D30">
              <w:lastRenderedPageBreak/>
              <w:t xml:space="preserve">of assets and deficits from learners’ personal, community, and/or cultural information </w:t>
            </w:r>
          </w:p>
        </w:tc>
        <w:tc>
          <w:tcPr>
            <w:tcW w:w="2575" w:type="dxa"/>
          </w:tcPr>
          <w:p w14:paraId="2327A28A" w14:textId="2FBC93A4" w:rsidR="00D05D30" w:rsidRPr="00D05D30" w:rsidRDefault="00D05D30" w:rsidP="0040447E">
            <w:pPr>
              <w:pStyle w:val="NoSpacing"/>
            </w:pPr>
            <w:r w:rsidRPr="00D05D30">
              <w:lastRenderedPageBreak/>
              <w:t>Plan includes connections to learners’ prior knowledge and experiences with planned opportunity to connect it to the current learning objectives</w:t>
            </w:r>
          </w:p>
        </w:tc>
        <w:tc>
          <w:tcPr>
            <w:tcW w:w="2575" w:type="dxa"/>
          </w:tcPr>
          <w:p w14:paraId="42934ABF" w14:textId="603DACEC" w:rsidR="00D05D30" w:rsidRPr="00D05D30" w:rsidRDefault="00D05D30" w:rsidP="00E77B9E">
            <w:pPr>
              <w:pStyle w:val="NoSpacing"/>
            </w:pPr>
            <w:r w:rsidRPr="00D05D30">
              <w:t xml:space="preserve">Plan includes limited connections to learners’ prior knowledge with no specific opportunity to connect it to the current learning objectives </w:t>
            </w:r>
          </w:p>
        </w:tc>
        <w:tc>
          <w:tcPr>
            <w:tcW w:w="2575" w:type="dxa"/>
          </w:tcPr>
          <w:p w14:paraId="27A74739" w14:textId="77777777" w:rsidR="00D05D30" w:rsidRPr="00D05D30" w:rsidRDefault="00D05D30" w:rsidP="00E77B9E">
            <w:pPr>
              <w:pStyle w:val="NoSpacing"/>
            </w:pPr>
            <w:r w:rsidRPr="00D05D30">
              <w:t xml:space="preserve">Plan fails to include connections to learners’ prior knowledge  </w:t>
            </w:r>
          </w:p>
        </w:tc>
        <w:tc>
          <w:tcPr>
            <w:tcW w:w="1440" w:type="dxa"/>
          </w:tcPr>
          <w:p w14:paraId="57641445" w14:textId="77777777" w:rsidR="00D05D30" w:rsidRPr="00D05D30" w:rsidRDefault="00D05D30" w:rsidP="00E77B9E">
            <w:pPr>
              <w:pStyle w:val="NoSpacing"/>
            </w:pPr>
          </w:p>
        </w:tc>
      </w:tr>
      <w:tr w:rsidR="00D05D30" w:rsidRPr="00D05D30" w14:paraId="19D1B71A" w14:textId="77777777" w:rsidTr="00D05D30">
        <w:tc>
          <w:tcPr>
            <w:tcW w:w="1850" w:type="dxa"/>
          </w:tcPr>
          <w:p w14:paraId="574EB93D" w14:textId="234D4B72"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Differentiation, </w:t>
            </w:r>
          </w:p>
          <w:p w14:paraId="1EDDCB99" w14:textId="53106855"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including </w:t>
            </w:r>
          </w:p>
          <w:p w14:paraId="09C5A663" w14:textId="740A9C97"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exceptionalities, </w:t>
            </w:r>
          </w:p>
          <w:p w14:paraId="162F3E99" w14:textId="42AF5F26"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cultural, and </w:t>
            </w:r>
          </w:p>
          <w:p w14:paraId="0FA2B5D2" w14:textId="30B34CC6"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linguistic </w:t>
            </w:r>
          </w:p>
          <w:p w14:paraId="475C016E" w14:textId="71411DC7" w:rsidR="00D05D30" w:rsidRPr="00D05D30" w:rsidRDefault="00D05D30" w:rsidP="320A018C">
            <w:pPr>
              <w:rPr>
                <w:rFonts w:eastAsiaTheme="minorEastAsia"/>
                <w:color w:val="000000" w:themeColor="text1"/>
              </w:rPr>
            </w:pPr>
            <w:r w:rsidRPr="00D05D30">
              <w:rPr>
                <w:rFonts w:eastAsiaTheme="minorEastAsia"/>
                <w:color w:val="000000" w:themeColor="text1"/>
                <w:sz w:val="24"/>
                <w:szCs w:val="24"/>
              </w:rPr>
              <w:t>differences</w:t>
            </w:r>
            <w:r w:rsidRPr="00D05D30">
              <w:rPr>
                <w:rFonts w:eastAsiaTheme="minorEastAsia"/>
                <w:color w:val="000000" w:themeColor="text1"/>
              </w:rPr>
              <w:t xml:space="preserve"> </w:t>
            </w:r>
          </w:p>
          <w:p w14:paraId="74BCA167" w14:textId="77777777" w:rsidR="00D05D30" w:rsidRPr="00D05D30" w:rsidRDefault="00D05D30" w:rsidP="00A40DCE">
            <w:pPr>
              <w:rPr>
                <w:rFonts w:eastAsiaTheme="minorEastAsia"/>
                <w:color w:val="000000" w:themeColor="text1"/>
              </w:rPr>
            </w:pPr>
            <w:r w:rsidRPr="00D05D30">
              <w:rPr>
                <w:rFonts w:eastAsiaTheme="minorEastAsia"/>
                <w:color w:val="000000" w:themeColor="text1"/>
              </w:rPr>
              <w:t>JSU LO # 4</w:t>
            </w:r>
          </w:p>
          <w:p w14:paraId="0388DC4A" w14:textId="77777777" w:rsidR="00D05D30" w:rsidRPr="00D05D30" w:rsidRDefault="00D05D30" w:rsidP="00A40DCE">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2, 3 </w:t>
            </w:r>
          </w:p>
          <w:p w14:paraId="3477BDB4" w14:textId="17214DFF" w:rsidR="00D05D30" w:rsidRPr="00D05D30" w:rsidRDefault="00D05D30" w:rsidP="00A40DCE">
            <w:pPr>
              <w:rPr>
                <w:rFonts w:eastAsiaTheme="minorEastAsia"/>
                <w:color w:val="000000" w:themeColor="text1"/>
              </w:rPr>
            </w:pPr>
            <w:r w:rsidRPr="00D05D30">
              <w:rPr>
                <w:rFonts w:eastAsiaTheme="minorEastAsia"/>
                <w:color w:val="000000" w:themeColor="text1"/>
              </w:rPr>
              <w:t>CAEP 1.1, 1.2, 1.3, 1.4, 2.3</w:t>
            </w:r>
          </w:p>
          <w:p w14:paraId="43C7A7AB" w14:textId="4306ECE7" w:rsidR="00D05D30" w:rsidRPr="00D05D30" w:rsidRDefault="00D05D30" w:rsidP="00A40DCE">
            <w:pPr>
              <w:rPr>
                <w:rFonts w:eastAsiaTheme="minorEastAsia"/>
                <w:color w:val="000000" w:themeColor="text1"/>
              </w:rPr>
            </w:pPr>
            <w:r w:rsidRPr="00D05D30">
              <w:rPr>
                <w:rFonts w:eastAsiaTheme="minorEastAsia"/>
                <w:color w:val="000000" w:themeColor="text1"/>
              </w:rPr>
              <w:t xml:space="preserve">CAEP CCT: Diversity </w:t>
            </w:r>
          </w:p>
        </w:tc>
        <w:tc>
          <w:tcPr>
            <w:tcW w:w="2575" w:type="dxa"/>
          </w:tcPr>
          <w:p w14:paraId="5D7834B2" w14:textId="77777777" w:rsidR="00D05D30" w:rsidRPr="00D05D30" w:rsidRDefault="00D05D30" w:rsidP="00FB21FF">
            <w:pPr>
              <w:pStyle w:val="NoSpacing"/>
            </w:pPr>
            <w:r w:rsidRPr="00D05D30">
              <w:t xml:space="preserve">Plan includes differentiation strategies based on individual learner needs and includes supports that are tied to the learning objectives </w:t>
            </w:r>
          </w:p>
        </w:tc>
        <w:tc>
          <w:tcPr>
            <w:tcW w:w="2575" w:type="dxa"/>
          </w:tcPr>
          <w:p w14:paraId="678A67E1" w14:textId="7A4B0951" w:rsidR="00D05D30" w:rsidRPr="00D05D30" w:rsidRDefault="00D05D30" w:rsidP="00FB21FF">
            <w:pPr>
              <w:pStyle w:val="NoSpacing"/>
            </w:pPr>
            <w:r w:rsidRPr="00D05D30">
              <w:t xml:space="preserve">Plan includes differentiation strategies based on learners with similar needs and includes supports that are tied to the learning objectives </w:t>
            </w:r>
          </w:p>
        </w:tc>
        <w:tc>
          <w:tcPr>
            <w:tcW w:w="2575" w:type="dxa"/>
          </w:tcPr>
          <w:p w14:paraId="6DD89723" w14:textId="77777777" w:rsidR="00D05D30" w:rsidRPr="00D05D30" w:rsidRDefault="00D05D30" w:rsidP="00E77B9E">
            <w:pPr>
              <w:pStyle w:val="NoSpacing"/>
            </w:pPr>
            <w:r w:rsidRPr="00D05D30">
              <w:t xml:space="preserve">Plan includes vague differentiation strategies that do not address learners with similar needs and includes supports that are loosely tied to the learning objectives </w:t>
            </w:r>
          </w:p>
          <w:p w14:paraId="71862C78" w14:textId="77777777" w:rsidR="00D05D30" w:rsidRPr="00D05D30" w:rsidRDefault="00D05D30" w:rsidP="00E77B9E">
            <w:pPr>
              <w:pStyle w:val="NoSpacing"/>
            </w:pPr>
          </w:p>
          <w:p w14:paraId="43C00D10" w14:textId="292AFF05" w:rsidR="00D05D30" w:rsidRPr="00D05D30" w:rsidRDefault="00D05D30" w:rsidP="00E77B9E">
            <w:pPr>
              <w:pStyle w:val="NoSpacing"/>
            </w:pPr>
          </w:p>
        </w:tc>
        <w:tc>
          <w:tcPr>
            <w:tcW w:w="2575" w:type="dxa"/>
          </w:tcPr>
          <w:p w14:paraId="39C1EEFD" w14:textId="77777777" w:rsidR="00D05D30" w:rsidRPr="00D05D30" w:rsidRDefault="00D05D30" w:rsidP="00E77B9E">
            <w:pPr>
              <w:pStyle w:val="NoSpacing"/>
            </w:pPr>
            <w:r w:rsidRPr="00D05D30">
              <w:t>Plans fail to include evidence of differentiation strategies for learners with similar needs</w:t>
            </w:r>
          </w:p>
        </w:tc>
        <w:tc>
          <w:tcPr>
            <w:tcW w:w="1440" w:type="dxa"/>
          </w:tcPr>
          <w:p w14:paraId="5FFA2105" w14:textId="77777777" w:rsidR="00D05D30" w:rsidRPr="00D05D30" w:rsidRDefault="00D05D30" w:rsidP="00E77B9E">
            <w:pPr>
              <w:pStyle w:val="NoSpacing"/>
            </w:pPr>
          </w:p>
        </w:tc>
      </w:tr>
      <w:tr w:rsidR="00D05D30" w:rsidRPr="00D05D30" w14:paraId="731F3BE1" w14:textId="77777777" w:rsidTr="00D05D30">
        <w:tc>
          <w:tcPr>
            <w:tcW w:w="1850" w:type="dxa"/>
          </w:tcPr>
          <w:p w14:paraId="64A04A8A" w14:textId="5C2A79D7"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Academic </w:t>
            </w:r>
          </w:p>
          <w:p w14:paraId="583F8697" w14:textId="14230700"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t xml:space="preserve">Language </w:t>
            </w:r>
          </w:p>
          <w:p w14:paraId="5E6AD0EC" w14:textId="2FDE2B21" w:rsidR="00D05D30" w:rsidRPr="00D05D30" w:rsidRDefault="00D05D30" w:rsidP="00830985">
            <w:pPr>
              <w:rPr>
                <w:rFonts w:eastAsiaTheme="minorEastAsia"/>
                <w:bCs/>
                <w:color w:val="000000" w:themeColor="text1"/>
              </w:rPr>
            </w:pPr>
            <w:r w:rsidRPr="00D05D30">
              <w:rPr>
                <w:rFonts w:eastAsiaTheme="minorEastAsia"/>
                <w:bCs/>
                <w:color w:val="000000" w:themeColor="text1"/>
              </w:rPr>
              <w:t>JSU LO #2</w:t>
            </w:r>
          </w:p>
          <w:p w14:paraId="79296B20" w14:textId="16986832" w:rsidR="00D05D30" w:rsidRPr="00D05D30" w:rsidRDefault="00D05D30" w:rsidP="64D2FFD2">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1, 4, 7, 8</w:t>
            </w:r>
          </w:p>
          <w:p w14:paraId="0ED880DF" w14:textId="6C4D8D10" w:rsidR="00D05D30" w:rsidRPr="00D05D30" w:rsidRDefault="00D05D30" w:rsidP="00830985">
            <w:r w:rsidRPr="00D05D30">
              <w:rPr>
                <w:rFonts w:eastAsiaTheme="minorEastAsia"/>
                <w:bCs/>
                <w:color w:val="000000" w:themeColor="text1"/>
              </w:rPr>
              <w:t>CAEP 1.1, 1.2, 1.3, 1.4, 2.3</w:t>
            </w:r>
          </w:p>
          <w:p w14:paraId="322EF907" w14:textId="77777777" w:rsidR="00D05D30" w:rsidRPr="00D05D30" w:rsidRDefault="00D05D30" w:rsidP="00E77B9E">
            <w:pPr>
              <w:pStyle w:val="NoSpacing"/>
            </w:pPr>
          </w:p>
        </w:tc>
        <w:tc>
          <w:tcPr>
            <w:tcW w:w="2575" w:type="dxa"/>
          </w:tcPr>
          <w:p w14:paraId="4F144188" w14:textId="65AA853A" w:rsidR="00D05D30" w:rsidRPr="00D05D30" w:rsidRDefault="00D05D30" w:rsidP="0040447E">
            <w:pPr>
              <w:pStyle w:val="NoSpacing"/>
            </w:pPr>
            <w:r w:rsidRPr="00D05D30">
              <w:t xml:space="preserve">Plan includes evidence of purposeful opportunities for learners to learn, practice, and apply academic language in the content area through all modes of expression: reading, writing, speaking, and listening </w:t>
            </w:r>
          </w:p>
        </w:tc>
        <w:tc>
          <w:tcPr>
            <w:tcW w:w="2575" w:type="dxa"/>
          </w:tcPr>
          <w:p w14:paraId="5722DCE4" w14:textId="546F859D" w:rsidR="00D05D30" w:rsidRPr="00D05D30" w:rsidRDefault="00D05D30" w:rsidP="0040447E">
            <w:pPr>
              <w:pStyle w:val="NoSpacing"/>
            </w:pPr>
            <w:r w:rsidRPr="00D05D30">
              <w:t xml:space="preserve">Plan includes evidence of purposeful opportunities for learners to engage in academic language through a combination of modes of expression: reading, writing, speaking, or listening  </w:t>
            </w:r>
          </w:p>
        </w:tc>
        <w:tc>
          <w:tcPr>
            <w:tcW w:w="2575" w:type="dxa"/>
          </w:tcPr>
          <w:p w14:paraId="6F80F28A" w14:textId="2B45427E" w:rsidR="00D05D30" w:rsidRPr="00D05D30" w:rsidRDefault="00D05D30" w:rsidP="0040447E">
            <w:pPr>
              <w:pStyle w:val="NoSpacing"/>
            </w:pPr>
            <w:r w:rsidRPr="00D05D30">
              <w:t xml:space="preserve">Plan includes evidence of a purposeful opportunity for learners to engage in academic language through reading, writing, speaking, or listening </w:t>
            </w:r>
          </w:p>
        </w:tc>
        <w:tc>
          <w:tcPr>
            <w:tcW w:w="2575" w:type="dxa"/>
          </w:tcPr>
          <w:p w14:paraId="40E57E8F" w14:textId="0AF2CFEC" w:rsidR="00D05D30" w:rsidRPr="00D05D30" w:rsidRDefault="00D05D30" w:rsidP="00E77B9E">
            <w:pPr>
              <w:pStyle w:val="NoSpacing"/>
            </w:pPr>
            <w:r w:rsidRPr="00D05D30">
              <w:t xml:space="preserve">Plan fails to include planned opportunity for learners to engage in academic language </w:t>
            </w:r>
          </w:p>
        </w:tc>
        <w:tc>
          <w:tcPr>
            <w:tcW w:w="1440" w:type="dxa"/>
          </w:tcPr>
          <w:p w14:paraId="3F35197A" w14:textId="77777777" w:rsidR="00D05D30" w:rsidRPr="00D05D30" w:rsidRDefault="00D05D30" w:rsidP="00E77B9E">
            <w:pPr>
              <w:pStyle w:val="NoSpacing"/>
            </w:pPr>
          </w:p>
        </w:tc>
      </w:tr>
      <w:tr w:rsidR="00D05D30" w:rsidRPr="00D05D30" w14:paraId="0324A2D7" w14:textId="77777777" w:rsidTr="00D05D30">
        <w:tc>
          <w:tcPr>
            <w:tcW w:w="1850" w:type="dxa"/>
          </w:tcPr>
          <w:p w14:paraId="3C6C4ACC" w14:textId="134EB446" w:rsidR="00D05D30" w:rsidRPr="00D05D30" w:rsidRDefault="00D05D30" w:rsidP="320A018C">
            <w:pPr>
              <w:rPr>
                <w:rFonts w:eastAsiaTheme="minorEastAsia"/>
                <w:color w:val="000000" w:themeColor="text1"/>
              </w:rPr>
            </w:pPr>
            <w:r w:rsidRPr="00D05D30">
              <w:rPr>
                <w:rFonts w:eastAsiaTheme="minorEastAsia"/>
                <w:color w:val="000000" w:themeColor="text1"/>
                <w:sz w:val="24"/>
                <w:szCs w:val="24"/>
              </w:rPr>
              <w:t>Assessment</w:t>
            </w:r>
            <w:r w:rsidRPr="00D05D30">
              <w:rPr>
                <w:rFonts w:eastAsiaTheme="minorEastAsia"/>
                <w:color w:val="000000" w:themeColor="text1"/>
              </w:rPr>
              <w:t xml:space="preserve"> </w:t>
            </w:r>
          </w:p>
          <w:p w14:paraId="1840DFAE" w14:textId="77777777" w:rsidR="00D05D30" w:rsidRPr="00D05D30" w:rsidRDefault="00D05D30" w:rsidP="00A40DCE">
            <w:pPr>
              <w:rPr>
                <w:rFonts w:eastAsiaTheme="minorEastAsia"/>
                <w:bCs/>
                <w:color w:val="000000" w:themeColor="text1"/>
              </w:rPr>
            </w:pPr>
            <w:r w:rsidRPr="00D05D30">
              <w:rPr>
                <w:rFonts w:eastAsiaTheme="minorEastAsia"/>
                <w:bCs/>
                <w:color w:val="000000" w:themeColor="text1"/>
              </w:rPr>
              <w:t>JSU LO #3</w:t>
            </w:r>
          </w:p>
          <w:p w14:paraId="4B9D99BF" w14:textId="77777777" w:rsidR="00D05D30" w:rsidRPr="00D05D30" w:rsidRDefault="00D05D30" w:rsidP="00A40DCE">
            <w:pPr>
              <w:rPr>
                <w:rFonts w:eastAsiaTheme="minorEastAsia"/>
                <w:bCs/>
                <w:color w:val="000000" w:themeColor="text1"/>
              </w:rPr>
            </w:pPr>
            <w:proofErr w:type="spellStart"/>
            <w:r w:rsidRPr="00D05D30">
              <w:rPr>
                <w:rFonts w:eastAsiaTheme="minorEastAsia"/>
                <w:bCs/>
                <w:color w:val="000000" w:themeColor="text1"/>
              </w:rPr>
              <w:t>InTASC</w:t>
            </w:r>
            <w:proofErr w:type="spellEnd"/>
            <w:r w:rsidRPr="00D05D30">
              <w:rPr>
                <w:rFonts w:eastAsiaTheme="minorEastAsia"/>
                <w:bCs/>
                <w:color w:val="000000" w:themeColor="text1"/>
              </w:rPr>
              <w:t xml:space="preserve"> 6</w:t>
            </w:r>
          </w:p>
          <w:p w14:paraId="0D7D4050" w14:textId="4EF1BD28" w:rsidR="00D05D30" w:rsidRPr="00D05D30" w:rsidRDefault="00D05D30" w:rsidP="00A40DCE">
            <w:r w:rsidRPr="00D05D30">
              <w:rPr>
                <w:rFonts w:eastAsiaTheme="minorEastAsia"/>
                <w:bCs/>
                <w:color w:val="000000" w:themeColor="text1"/>
              </w:rPr>
              <w:t xml:space="preserve">CAEP 1.1, 1.2, 1.3, 1.4, 2.3 </w:t>
            </w:r>
          </w:p>
        </w:tc>
        <w:tc>
          <w:tcPr>
            <w:tcW w:w="2575" w:type="dxa"/>
          </w:tcPr>
          <w:p w14:paraId="1918E946" w14:textId="740D66B4" w:rsidR="00D05D30" w:rsidRPr="00D05D30" w:rsidRDefault="00D05D30" w:rsidP="00001A17">
            <w:pPr>
              <w:pStyle w:val="NoSpacing"/>
            </w:pPr>
            <w:r w:rsidRPr="00D05D30">
              <w:t>Plan includes assessments that are aligned with the learning objectives and purposefully designed to allow for multiple forms of evidence of learning throughout the lesson</w:t>
            </w:r>
          </w:p>
        </w:tc>
        <w:tc>
          <w:tcPr>
            <w:tcW w:w="2575" w:type="dxa"/>
          </w:tcPr>
          <w:p w14:paraId="6BB9DC59" w14:textId="07476CDA" w:rsidR="00D05D30" w:rsidRPr="00D05D30" w:rsidRDefault="00D05D30" w:rsidP="0040447E">
            <w:pPr>
              <w:pStyle w:val="NoSpacing"/>
            </w:pPr>
            <w:r w:rsidRPr="00D05D30">
              <w:t>Plan includes assessments that are aligned with the learning objectives and designed to monitor evidence of student learning throughout the lesson</w:t>
            </w:r>
          </w:p>
        </w:tc>
        <w:tc>
          <w:tcPr>
            <w:tcW w:w="2575" w:type="dxa"/>
          </w:tcPr>
          <w:p w14:paraId="54472BD5" w14:textId="53FC7FDA" w:rsidR="00D05D30" w:rsidRPr="00D05D30" w:rsidRDefault="00D05D30" w:rsidP="00FB21FF">
            <w:pPr>
              <w:pStyle w:val="NoSpacing"/>
            </w:pPr>
            <w:r w:rsidRPr="00D05D30">
              <w:t xml:space="preserve">Plan includes assessment that is aligned to the learning objectives and used to provide limited evidence of learning at a single point during or after the lesson  </w:t>
            </w:r>
          </w:p>
        </w:tc>
        <w:tc>
          <w:tcPr>
            <w:tcW w:w="2575" w:type="dxa"/>
          </w:tcPr>
          <w:p w14:paraId="49695AA0" w14:textId="316D562F" w:rsidR="00D05D30" w:rsidRPr="00D05D30" w:rsidRDefault="00D05D30" w:rsidP="0040447E">
            <w:pPr>
              <w:pStyle w:val="NoSpacing"/>
            </w:pPr>
            <w:r w:rsidRPr="00D05D30">
              <w:t xml:space="preserve">Plan fails to include assessment that is aligned to the learning objectives  </w:t>
            </w:r>
          </w:p>
        </w:tc>
        <w:tc>
          <w:tcPr>
            <w:tcW w:w="1440" w:type="dxa"/>
          </w:tcPr>
          <w:p w14:paraId="69C69A91" w14:textId="77777777" w:rsidR="00D05D30" w:rsidRPr="00D05D30" w:rsidRDefault="00D05D30" w:rsidP="00E77B9E">
            <w:pPr>
              <w:pStyle w:val="NoSpacing"/>
            </w:pPr>
          </w:p>
        </w:tc>
      </w:tr>
      <w:tr w:rsidR="00D05D30" w:rsidRPr="00D05D30" w14:paraId="6091F895" w14:textId="77777777" w:rsidTr="00D05D30">
        <w:tc>
          <w:tcPr>
            <w:tcW w:w="1850" w:type="dxa"/>
          </w:tcPr>
          <w:p w14:paraId="7BD66CD9" w14:textId="07968088" w:rsidR="00D05D30" w:rsidRPr="00D05D30" w:rsidRDefault="00D05D30" w:rsidP="320A018C">
            <w:pPr>
              <w:rPr>
                <w:rFonts w:eastAsiaTheme="minorEastAsia"/>
                <w:color w:val="000000" w:themeColor="text1"/>
                <w:sz w:val="24"/>
                <w:szCs w:val="24"/>
              </w:rPr>
            </w:pPr>
            <w:r w:rsidRPr="00D05D30">
              <w:rPr>
                <w:rFonts w:eastAsiaTheme="minorEastAsia"/>
                <w:color w:val="000000" w:themeColor="text1"/>
                <w:sz w:val="24"/>
                <w:szCs w:val="24"/>
              </w:rPr>
              <w:lastRenderedPageBreak/>
              <w:t xml:space="preserve">Technology </w:t>
            </w:r>
          </w:p>
          <w:p w14:paraId="453AA9C7" w14:textId="39749864" w:rsidR="00D05D30" w:rsidRPr="00D05D30" w:rsidRDefault="00D05D30" w:rsidP="320A018C">
            <w:pPr>
              <w:rPr>
                <w:rFonts w:eastAsiaTheme="minorEastAsia"/>
                <w:color w:val="000000" w:themeColor="text1"/>
              </w:rPr>
            </w:pPr>
            <w:r w:rsidRPr="00D05D30">
              <w:rPr>
                <w:rFonts w:eastAsiaTheme="minorEastAsia"/>
                <w:color w:val="000000" w:themeColor="text1"/>
              </w:rPr>
              <w:t xml:space="preserve">JSU LO #2 </w:t>
            </w:r>
          </w:p>
          <w:p w14:paraId="4906FB49" w14:textId="1486EB93" w:rsidR="00D05D30" w:rsidRPr="00D05D30" w:rsidRDefault="00D05D30" w:rsidP="320A018C">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1, 7, 8 </w:t>
            </w:r>
          </w:p>
          <w:p w14:paraId="1406EC8B" w14:textId="5E37F843" w:rsidR="00D05D30" w:rsidRPr="00D05D30" w:rsidRDefault="00D05D30" w:rsidP="00A40DCE">
            <w:pPr>
              <w:pStyle w:val="NoSpacing"/>
            </w:pPr>
            <w:r w:rsidRPr="00D05D30">
              <w:t xml:space="preserve">CAEP: 1.1, 1.2, 1.3, 1.4, 1.5, 2.3 </w:t>
            </w:r>
          </w:p>
          <w:p w14:paraId="22B5B63E" w14:textId="25DB060C" w:rsidR="00D05D30" w:rsidRPr="00D05D30" w:rsidRDefault="00D05D30" w:rsidP="00E77B9E">
            <w:pPr>
              <w:pStyle w:val="NoSpacing"/>
            </w:pPr>
            <w:r w:rsidRPr="00D05D30">
              <w:t>CAEP CCT: Technology</w:t>
            </w:r>
          </w:p>
        </w:tc>
        <w:tc>
          <w:tcPr>
            <w:tcW w:w="2575" w:type="dxa"/>
          </w:tcPr>
          <w:p w14:paraId="301D3447" w14:textId="08A17661" w:rsidR="00D05D30" w:rsidRPr="00D05D30" w:rsidRDefault="00D05D30" w:rsidP="00083907">
            <w:pPr>
              <w:pStyle w:val="NoSpacing"/>
            </w:pPr>
            <w:r w:rsidRPr="00D05D30">
              <w:t>Plan includes use of technology integration as a student-managed resource to enhance learner understanding and application of learning objectives</w:t>
            </w:r>
          </w:p>
        </w:tc>
        <w:tc>
          <w:tcPr>
            <w:tcW w:w="2575" w:type="dxa"/>
          </w:tcPr>
          <w:p w14:paraId="6B6B53C5" w14:textId="28E282EF" w:rsidR="00D05D30" w:rsidRPr="00D05D30" w:rsidRDefault="00D05D30" w:rsidP="0040447E">
            <w:pPr>
              <w:pStyle w:val="NoSpacing"/>
            </w:pPr>
            <w:r w:rsidRPr="00D05D30">
              <w:t xml:space="preserve">Plan includes use of technology integration as a student-managed resource to enhance learner understanding of learning objectives </w:t>
            </w:r>
          </w:p>
        </w:tc>
        <w:tc>
          <w:tcPr>
            <w:tcW w:w="2575" w:type="dxa"/>
          </w:tcPr>
          <w:p w14:paraId="0F798D74" w14:textId="7FDD215C" w:rsidR="00D05D30" w:rsidRPr="00D05D30" w:rsidRDefault="00D05D30" w:rsidP="00FB21FF">
            <w:pPr>
              <w:pStyle w:val="NoSpacing"/>
            </w:pPr>
            <w:r w:rsidRPr="00D05D30">
              <w:t xml:space="preserve">Plan includes use of technology as a teacher-managed resource to enhance learner understanding of learning objectives </w:t>
            </w:r>
          </w:p>
        </w:tc>
        <w:tc>
          <w:tcPr>
            <w:tcW w:w="2575" w:type="dxa"/>
          </w:tcPr>
          <w:p w14:paraId="4534495F" w14:textId="32419ED7" w:rsidR="00D05D30" w:rsidRPr="00D05D30" w:rsidRDefault="00D05D30" w:rsidP="00FB21FF">
            <w:pPr>
              <w:pStyle w:val="NoSpacing"/>
            </w:pPr>
            <w:r w:rsidRPr="00D05D30">
              <w:t>Plan fails to include appropriate technology integration</w:t>
            </w:r>
          </w:p>
        </w:tc>
        <w:tc>
          <w:tcPr>
            <w:tcW w:w="1440" w:type="dxa"/>
          </w:tcPr>
          <w:p w14:paraId="01EF9E21" w14:textId="77777777" w:rsidR="00D05D30" w:rsidRPr="00D05D30" w:rsidRDefault="00D05D30" w:rsidP="00E77B9E">
            <w:pPr>
              <w:pStyle w:val="NoSpacing"/>
            </w:pPr>
          </w:p>
        </w:tc>
      </w:tr>
    </w:tbl>
    <w:p w14:paraId="4E6F42DD" w14:textId="2BCA0F70" w:rsidR="00E77B9E" w:rsidRPr="00D05D30" w:rsidRDefault="00D05D30" w:rsidP="00D05D30">
      <w:pPr>
        <w:tabs>
          <w:tab w:val="left" w:pos="8580"/>
        </w:tabs>
      </w:pPr>
      <w:r w:rsidRPr="00D05D30">
        <w:tab/>
      </w:r>
    </w:p>
    <w:p w14:paraId="1BABE4D8" w14:textId="77777777" w:rsidR="00D05D30" w:rsidRPr="00D05D30" w:rsidRDefault="00D05D30" w:rsidP="00E53BF6">
      <w:pPr>
        <w:rPr>
          <w:rFonts w:ascii="Arial" w:hAnsi="Arial" w:cs="Arial"/>
          <w:sz w:val="24"/>
        </w:rPr>
      </w:pPr>
      <w:r w:rsidRPr="00D05D30">
        <w:rPr>
          <w:rFonts w:ascii="Arial" w:hAnsi="Arial" w:cs="Arial"/>
          <w:sz w:val="24"/>
        </w:rPr>
        <w:t>Observation</w:t>
      </w:r>
    </w:p>
    <w:tbl>
      <w:tblPr>
        <w:tblStyle w:val="TableGrid"/>
        <w:tblW w:w="13590" w:type="dxa"/>
        <w:tblInd w:w="-455" w:type="dxa"/>
        <w:tblLook w:val="04A0" w:firstRow="1" w:lastRow="0" w:firstColumn="1" w:lastColumn="0" w:noHBand="0" w:noVBand="1"/>
      </w:tblPr>
      <w:tblGrid>
        <w:gridCol w:w="1850"/>
        <w:gridCol w:w="2575"/>
        <w:gridCol w:w="2575"/>
        <w:gridCol w:w="2575"/>
        <w:gridCol w:w="2575"/>
        <w:gridCol w:w="1440"/>
      </w:tblGrid>
      <w:tr w:rsidR="00D05D30" w:rsidRPr="00D05D30" w14:paraId="4A69B04B" w14:textId="77777777" w:rsidTr="00B31192">
        <w:trPr>
          <w:tblHeader/>
        </w:trPr>
        <w:tc>
          <w:tcPr>
            <w:tcW w:w="1850" w:type="dxa"/>
          </w:tcPr>
          <w:p w14:paraId="462F1F95" w14:textId="77777777" w:rsidR="00D05D30" w:rsidRPr="00D05D30" w:rsidRDefault="00D05D30" w:rsidP="00B31192">
            <w:pPr>
              <w:pStyle w:val="NoSpacing"/>
            </w:pPr>
          </w:p>
        </w:tc>
        <w:tc>
          <w:tcPr>
            <w:tcW w:w="2575" w:type="dxa"/>
          </w:tcPr>
          <w:p w14:paraId="18DB746B" w14:textId="77777777" w:rsidR="00D05D30" w:rsidRPr="00D05D30" w:rsidRDefault="00D05D30" w:rsidP="00B31192">
            <w:pPr>
              <w:pStyle w:val="NoSpacing"/>
            </w:pPr>
            <w:r w:rsidRPr="00D05D30">
              <w:t xml:space="preserve">Exceptional (4) </w:t>
            </w:r>
          </w:p>
        </w:tc>
        <w:tc>
          <w:tcPr>
            <w:tcW w:w="2575" w:type="dxa"/>
          </w:tcPr>
          <w:p w14:paraId="360DE5D1" w14:textId="77777777" w:rsidR="00D05D30" w:rsidRPr="00D05D30" w:rsidRDefault="00D05D30" w:rsidP="00B31192">
            <w:pPr>
              <w:pStyle w:val="NoSpacing"/>
            </w:pPr>
            <w:r w:rsidRPr="00D05D30">
              <w:t xml:space="preserve">Proficient (3) </w:t>
            </w:r>
          </w:p>
        </w:tc>
        <w:tc>
          <w:tcPr>
            <w:tcW w:w="2575" w:type="dxa"/>
          </w:tcPr>
          <w:p w14:paraId="4E365E90" w14:textId="77777777" w:rsidR="00D05D30" w:rsidRPr="00D05D30" w:rsidRDefault="00D05D30" w:rsidP="00B31192">
            <w:pPr>
              <w:pStyle w:val="NoSpacing"/>
            </w:pPr>
            <w:r w:rsidRPr="00D05D30">
              <w:t>Developing (2)</w:t>
            </w:r>
          </w:p>
        </w:tc>
        <w:tc>
          <w:tcPr>
            <w:tcW w:w="2575" w:type="dxa"/>
          </w:tcPr>
          <w:p w14:paraId="16D699C6" w14:textId="77777777" w:rsidR="00D05D30" w:rsidRPr="00D05D30" w:rsidRDefault="00D05D30" w:rsidP="00B31192">
            <w:pPr>
              <w:pStyle w:val="NoSpacing"/>
            </w:pPr>
            <w:r w:rsidRPr="00D05D30">
              <w:t xml:space="preserve">Unacceptable (1) </w:t>
            </w:r>
          </w:p>
        </w:tc>
        <w:tc>
          <w:tcPr>
            <w:tcW w:w="1440" w:type="dxa"/>
          </w:tcPr>
          <w:p w14:paraId="41D60424" w14:textId="77777777" w:rsidR="00D05D30" w:rsidRPr="00D05D30" w:rsidRDefault="00D05D30" w:rsidP="00B31192">
            <w:pPr>
              <w:pStyle w:val="NoSpacing"/>
            </w:pPr>
            <w:r w:rsidRPr="00D05D30">
              <w:t xml:space="preserve">Not Applicable </w:t>
            </w:r>
          </w:p>
        </w:tc>
      </w:tr>
      <w:tr w:rsidR="00D05D30" w:rsidRPr="00D05D30" w14:paraId="7D6165F0" w14:textId="77777777" w:rsidTr="00B31192">
        <w:tc>
          <w:tcPr>
            <w:tcW w:w="1850" w:type="dxa"/>
          </w:tcPr>
          <w:p w14:paraId="539D1792"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Learning Environment</w:t>
            </w:r>
          </w:p>
          <w:p w14:paraId="4C9E0C36"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 xml:space="preserve">JSU LO #2, 6 </w:t>
            </w:r>
          </w:p>
          <w:p w14:paraId="66475B17" w14:textId="77777777" w:rsidR="00D05D30" w:rsidRPr="00D05D30" w:rsidRDefault="00D05D30" w:rsidP="00B31192">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1, 4, 5, 7, 8 </w:t>
            </w:r>
          </w:p>
          <w:p w14:paraId="5A7E7BA3"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 xml:space="preserve">CAEP 1.1, 1.2, 1.3, 1.4, 2.3 </w:t>
            </w:r>
          </w:p>
          <w:p w14:paraId="415A06D7" w14:textId="77777777" w:rsidR="00D05D30" w:rsidRPr="00D05D30" w:rsidRDefault="00D05D30" w:rsidP="00B31192">
            <w:pPr>
              <w:pStyle w:val="NoSpacing"/>
            </w:pPr>
            <w:r w:rsidRPr="00D05D30">
              <w:t xml:space="preserve"> </w:t>
            </w:r>
          </w:p>
          <w:p w14:paraId="35C52BCA" w14:textId="77777777" w:rsidR="00D05D30" w:rsidRPr="00D05D30" w:rsidRDefault="00D05D30" w:rsidP="00B31192">
            <w:pPr>
              <w:pStyle w:val="NoSpacing"/>
            </w:pPr>
          </w:p>
        </w:tc>
        <w:tc>
          <w:tcPr>
            <w:tcW w:w="2575" w:type="dxa"/>
          </w:tcPr>
          <w:p w14:paraId="682DBB5F" w14:textId="77777777" w:rsidR="00D05D30" w:rsidRPr="00D05D30" w:rsidRDefault="00D05D30" w:rsidP="00B31192">
            <w:pPr>
              <w:pStyle w:val="NoSpacing"/>
            </w:pPr>
            <w:r w:rsidRPr="00D05D30">
              <w:t xml:space="preserve">Candidate </w:t>
            </w:r>
            <w:r w:rsidRPr="00D05D30">
              <w:rPr>
                <w:bCs/>
              </w:rPr>
              <w:t>creates a learning environment that</w:t>
            </w:r>
            <w:r w:rsidRPr="00D05D30">
              <w:t xml:space="preserve"> </w:t>
            </w:r>
            <w:r w:rsidRPr="00D05D30">
              <w:rPr>
                <w:bCs/>
              </w:rPr>
              <w:t>supports collaborative and individual learning</w:t>
            </w:r>
            <w:r w:rsidRPr="00D05D30">
              <w:t xml:space="preserve"> with activities that encourage positive social interaction and engagement in learning aligned with stated curriculum goals and content standards </w:t>
            </w:r>
            <w:proofErr w:type="spellStart"/>
            <w:r w:rsidRPr="00D05D30">
              <w:t>standards</w:t>
            </w:r>
            <w:proofErr w:type="spellEnd"/>
            <w:r w:rsidRPr="00D05D30">
              <w:t xml:space="preserve"> (AL College &amp; Career Ready Standards, Alabama Course of Study)</w:t>
            </w:r>
          </w:p>
        </w:tc>
        <w:tc>
          <w:tcPr>
            <w:tcW w:w="2575" w:type="dxa"/>
          </w:tcPr>
          <w:p w14:paraId="3D7A274B" w14:textId="77777777" w:rsidR="00D05D30" w:rsidRPr="00D05D30" w:rsidRDefault="00D05D30" w:rsidP="00B31192">
            <w:pPr>
              <w:pStyle w:val="NoSpacing"/>
            </w:pPr>
            <w:r w:rsidRPr="00D05D30">
              <w:t>Candidate c</w:t>
            </w:r>
            <w:r w:rsidRPr="00D05D30">
              <w:rPr>
                <w:bCs/>
              </w:rPr>
              <w:t>reates a learning environment by connecting learning objectives with activities</w:t>
            </w:r>
            <w:r w:rsidRPr="00D05D30">
              <w:t xml:space="preserve"> that encourage positive social interaction and engagement in learning aligned with stated curriculum goals and content standards (AL College &amp; Career Ready Standards, Alabama Course of Study)</w:t>
            </w:r>
          </w:p>
        </w:tc>
        <w:tc>
          <w:tcPr>
            <w:tcW w:w="2575" w:type="dxa"/>
          </w:tcPr>
          <w:p w14:paraId="124244C9" w14:textId="77777777" w:rsidR="00D05D30" w:rsidRPr="00D05D30" w:rsidRDefault="00D05D30" w:rsidP="00B31192">
            <w:pPr>
              <w:pStyle w:val="NoSpacing"/>
            </w:pPr>
            <w:r w:rsidRPr="00D05D30">
              <w:t xml:space="preserve">Candidate </w:t>
            </w:r>
            <w:r w:rsidRPr="00D05D30">
              <w:rPr>
                <w:bCs/>
              </w:rPr>
              <w:t xml:space="preserve">creates a vague learning environment </w:t>
            </w:r>
            <w:r w:rsidRPr="00D05D30">
              <w:t>with l</w:t>
            </w:r>
            <w:r w:rsidRPr="00D05D30">
              <w:rPr>
                <w:bCs/>
              </w:rPr>
              <w:t>earning objectives activities that are loosely connected</w:t>
            </w:r>
            <w:r w:rsidRPr="00D05D30">
              <w:t xml:space="preserve"> throughout the lesson with stated curriculum goals and content standards</w:t>
            </w:r>
          </w:p>
          <w:p w14:paraId="13559303" w14:textId="77777777" w:rsidR="00D05D30" w:rsidRPr="00D05D30" w:rsidRDefault="00D05D30" w:rsidP="00B31192">
            <w:pPr>
              <w:pStyle w:val="NoSpacing"/>
            </w:pPr>
            <w:r w:rsidRPr="00D05D30">
              <w:t>(AL College &amp; Career Ready Standards, Alabama Course of Study)</w:t>
            </w:r>
          </w:p>
        </w:tc>
        <w:tc>
          <w:tcPr>
            <w:tcW w:w="2575" w:type="dxa"/>
          </w:tcPr>
          <w:p w14:paraId="54F59236" w14:textId="77777777" w:rsidR="00D05D30" w:rsidRPr="00D05D30" w:rsidRDefault="00D05D30" w:rsidP="00B31192">
            <w:pPr>
              <w:pStyle w:val="NoSpacing"/>
            </w:pPr>
            <w:r w:rsidRPr="00D05D30">
              <w:t>Candidate f</w:t>
            </w:r>
            <w:r w:rsidRPr="00D05D30">
              <w:rPr>
                <w:bCs/>
              </w:rPr>
              <w:t xml:space="preserve">ails to create a learning environment </w:t>
            </w:r>
            <w:r w:rsidRPr="00D05D30">
              <w:t>that provides learning objectives with defined activities tied to specific curriculum goals and content standards (AL College &amp; Career Ready Standards, Alabama Course of Study)</w:t>
            </w:r>
          </w:p>
        </w:tc>
        <w:tc>
          <w:tcPr>
            <w:tcW w:w="1440" w:type="dxa"/>
          </w:tcPr>
          <w:p w14:paraId="6BF6FD54" w14:textId="77777777" w:rsidR="00D05D30" w:rsidRPr="00D05D30" w:rsidRDefault="00D05D30" w:rsidP="00B31192">
            <w:pPr>
              <w:pStyle w:val="NoSpacing"/>
            </w:pPr>
          </w:p>
        </w:tc>
      </w:tr>
      <w:tr w:rsidR="00D05D30" w:rsidRPr="00D05D30" w14:paraId="3222581A" w14:textId="77777777" w:rsidTr="00B31192">
        <w:tc>
          <w:tcPr>
            <w:tcW w:w="1850" w:type="dxa"/>
          </w:tcPr>
          <w:p w14:paraId="1C90B415"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Prior Knowledge</w:t>
            </w:r>
          </w:p>
          <w:p w14:paraId="765941E6"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 xml:space="preserve">JSU LO #4, 6 </w:t>
            </w:r>
          </w:p>
          <w:p w14:paraId="5941FE34" w14:textId="77777777" w:rsidR="00D05D30" w:rsidRPr="00D05D30" w:rsidRDefault="00D05D30" w:rsidP="00B31192">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1, 4, 5, 7, 8 </w:t>
            </w:r>
          </w:p>
          <w:p w14:paraId="53C1EF39"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 xml:space="preserve">CAEP 1.1, 1.2, 1.3, 1.4, 2.3 </w:t>
            </w:r>
          </w:p>
          <w:p w14:paraId="520351D8"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lastRenderedPageBreak/>
              <w:t xml:space="preserve">CAEP CCT: Diversity </w:t>
            </w:r>
          </w:p>
          <w:p w14:paraId="6467BA23" w14:textId="77777777" w:rsidR="00D05D30" w:rsidRPr="00D05D30" w:rsidRDefault="00D05D30" w:rsidP="00B31192"/>
        </w:tc>
        <w:tc>
          <w:tcPr>
            <w:tcW w:w="2575" w:type="dxa"/>
          </w:tcPr>
          <w:p w14:paraId="7A5CB56A" w14:textId="77777777" w:rsidR="00D05D30" w:rsidRPr="00D05D30" w:rsidRDefault="00D05D30" w:rsidP="00B31192">
            <w:pPr>
              <w:pStyle w:val="NoSpacing"/>
            </w:pPr>
            <w:r w:rsidRPr="00D05D30">
              <w:lastRenderedPageBreak/>
              <w:t xml:space="preserve">Candidate offers </w:t>
            </w:r>
            <w:r w:rsidRPr="00D05D30">
              <w:rPr>
                <w:bCs/>
              </w:rPr>
              <w:t>collaborative opportunities</w:t>
            </w:r>
            <w:r w:rsidRPr="00D05D30">
              <w:t xml:space="preserve"> for learners to connect it to the current learning objectives, </w:t>
            </w:r>
            <w:r w:rsidRPr="00D05D30">
              <w:rPr>
                <w:bCs/>
              </w:rPr>
              <w:t xml:space="preserve">including use </w:t>
            </w:r>
            <w:r w:rsidRPr="00D05D30">
              <w:rPr>
                <w:bCs/>
              </w:rPr>
              <w:lastRenderedPageBreak/>
              <w:t>of assets and deficits from learners’ personal, community, and/or cultural information</w:t>
            </w:r>
            <w:r w:rsidRPr="00D05D30">
              <w:t xml:space="preserve"> </w:t>
            </w:r>
          </w:p>
        </w:tc>
        <w:tc>
          <w:tcPr>
            <w:tcW w:w="2575" w:type="dxa"/>
          </w:tcPr>
          <w:p w14:paraId="51A8A881" w14:textId="77777777" w:rsidR="00D05D30" w:rsidRPr="00D05D30" w:rsidRDefault="00D05D30" w:rsidP="00B31192">
            <w:pPr>
              <w:pStyle w:val="NoSpacing"/>
            </w:pPr>
            <w:r w:rsidRPr="00D05D30">
              <w:lastRenderedPageBreak/>
              <w:t xml:space="preserve">Candidate offers </w:t>
            </w:r>
            <w:r w:rsidRPr="00D05D30">
              <w:rPr>
                <w:bCs/>
              </w:rPr>
              <w:t>collaborative opportunities</w:t>
            </w:r>
            <w:r w:rsidRPr="00D05D30">
              <w:t xml:space="preserve"> for learners to connect to prior knowledge and </w:t>
            </w:r>
            <w:r w:rsidRPr="00D05D30">
              <w:rPr>
                <w:bCs/>
              </w:rPr>
              <w:t xml:space="preserve">offers planned opportunities to </w:t>
            </w:r>
            <w:r w:rsidRPr="00D05D30">
              <w:rPr>
                <w:bCs/>
              </w:rPr>
              <w:lastRenderedPageBreak/>
              <w:t>connect it to the current learning objectives</w:t>
            </w:r>
          </w:p>
        </w:tc>
        <w:tc>
          <w:tcPr>
            <w:tcW w:w="2575" w:type="dxa"/>
          </w:tcPr>
          <w:p w14:paraId="4E554696" w14:textId="77777777" w:rsidR="00D05D30" w:rsidRPr="00D05D30" w:rsidRDefault="00D05D30" w:rsidP="00B31192">
            <w:pPr>
              <w:pStyle w:val="NoSpacing"/>
            </w:pPr>
            <w:r w:rsidRPr="00D05D30">
              <w:lastRenderedPageBreak/>
              <w:t xml:space="preserve">Candidate </w:t>
            </w:r>
            <w:r w:rsidRPr="00D05D30">
              <w:rPr>
                <w:bCs/>
              </w:rPr>
              <w:t>offers limited opportunities</w:t>
            </w:r>
            <w:r w:rsidRPr="00D05D30">
              <w:t xml:space="preserve"> for learners to connect prior knowledge and </w:t>
            </w:r>
            <w:r w:rsidRPr="00D05D30">
              <w:rPr>
                <w:bCs/>
              </w:rPr>
              <w:t>lacks specific actions</w:t>
            </w:r>
            <w:r w:rsidRPr="00D05D30">
              <w:t xml:space="preserve"> to </w:t>
            </w:r>
            <w:r w:rsidRPr="00D05D30">
              <w:lastRenderedPageBreak/>
              <w:t xml:space="preserve">connect it to the current learning objectives </w:t>
            </w:r>
          </w:p>
        </w:tc>
        <w:tc>
          <w:tcPr>
            <w:tcW w:w="2575" w:type="dxa"/>
          </w:tcPr>
          <w:p w14:paraId="3881CDA5" w14:textId="77777777" w:rsidR="00D05D30" w:rsidRPr="00D05D30" w:rsidRDefault="00D05D30" w:rsidP="00B31192">
            <w:pPr>
              <w:pStyle w:val="NoSpacing"/>
            </w:pPr>
            <w:r w:rsidRPr="00D05D30">
              <w:lastRenderedPageBreak/>
              <w:t xml:space="preserve">Candidate </w:t>
            </w:r>
            <w:r w:rsidRPr="00D05D30">
              <w:rPr>
                <w:bCs/>
              </w:rPr>
              <w:t>fails to apply connections</w:t>
            </w:r>
            <w:r w:rsidRPr="00D05D30">
              <w:t xml:space="preserve"> to learners’ prior knowledge  </w:t>
            </w:r>
          </w:p>
        </w:tc>
        <w:tc>
          <w:tcPr>
            <w:tcW w:w="1440" w:type="dxa"/>
          </w:tcPr>
          <w:p w14:paraId="66BB1505" w14:textId="77777777" w:rsidR="00D05D30" w:rsidRPr="00D05D30" w:rsidRDefault="00D05D30" w:rsidP="00B31192">
            <w:pPr>
              <w:pStyle w:val="NoSpacing"/>
            </w:pPr>
          </w:p>
        </w:tc>
      </w:tr>
      <w:tr w:rsidR="00D05D30" w:rsidRPr="00D05D30" w14:paraId="36417BBD" w14:textId="77777777" w:rsidTr="00B31192">
        <w:tc>
          <w:tcPr>
            <w:tcW w:w="1850" w:type="dxa"/>
          </w:tcPr>
          <w:p w14:paraId="6A9ABDE0"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Differentiation, </w:t>
            </w:r>
          </w:p>
          <w:p w14:paraId="4D7331CF"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including </w:t>
            </w:r>
          </w:p>
          <w:p w14:paraId="574AC091"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exceptionalities, </w:t>
            </w:r>
          </w:p>
          <w:p w14:paraId="69CA69DE"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cultural, and </w:t>
            </w:r>
          </w:p>
          <w:p w14:paraId="154C58C5"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linguistic </w:t>
            </w:r>
          </w:p>
          <w:p w14:paraId="2CF63F5B" w14:textId="77777777" w:rsidR="00D05D30" w:rsidRPr="00D05D30" w:rsidRDefault="00D05D30" w:rsidP="00B31192">
            <w:pPr>
              <w:rPr>
                <w:rFonts w:eastAsiaTheme="minorEastAsia"/>
                <w:color w:val="000000" w:themeColor="text1"/>
              </w:rPr>
            </w:pPr>
            <w:r w:rsidRPr="00D05D30">
              <w:rPr>
                <w:rFonts w:eastAsiaTheme="minorEastAsia"/>
                <w:color w:val="000000" w:themeColor="text1"/>
                <w:sz w:val="24"/>
                <w:szCs w:val="24"/>
              </w:rPr>
              <w:t>differences</w:t>
            </w:r>
            <w:r w:rsidRPr="00D05D30">
              <w:rPr>
                <w:rFonts w:eastAsiaTheme="minorEastAsia"/>
                <w:color w:val="000000" w:themeColor="text1"/>
              </w:rPr>
              <w:t xml:space="preserve"> </w:t>
            </w:r>
          </w:p>
          <w:p w14:paraId="7DE94BF7"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JSU LO #4</w:t>
            </w:r>
          </w:p>
          <w:p w14:paraId="7A142EA0" w14:textId="77777777" w:rsidR="00D05D30" w:rsidRPr="00D05D30" w:rsidRDefault="00D05D30" w:rsidP="00B31192">
            <w:pPr>
              <w:rPr>
                <w:rFonts w:eastAsiaTheme="minorEastAsia"/>
                <w:color w:val="000000" w:themeColor="text1"/>
              </w:rPr>
            </w:pPr>
            <w:proofErr w:type="spellStart"/>
            <w:r w:rsidRPr="00D05D30">
              <w:rPr>
                <w:rFonts w:eastAsiaTheme="minorEastAsia"/>
                <w:color w:val="000000" w:themeColor="text1"/>
              </w:rPr>
              <w:t>InTASC</w:t>
            </w:r>
            <w:proofErr w:type="spellEnd"/>
            <w:r w:rsidRPr="00D05D30">
              <w:rPr>
                <w:rFonts w:eastAsiaTheme="minorEastAsia"/>
                <w:color w:val="000000" w:themeColor="text1"/>
              </w:rPr>
              <w:t xml:space="preserve"> 2, 3 </w:t>
            </w:r>
          </w:p>
          <w:p w14:paraId="734D9F8A"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 xml:space="preserve">CAEP 1.1, 1.2, 1.3, 1.4, 2.3 </w:t>
            </w:r>
          </w:p>
          <w:p w14:paraId="03EE753C" w14:textId="77777777" w:rsidR="00D05D30" w:rsidRPr="00D05D30" w:rsidRDefault="00D05D30" w:rsidP="00B31192">
            <w:r w:rsidRPr="00D05D30">
              <w:rPr>
                <w:rFonts w:eastAsiaTheme="minorEastAsia"/>
                <w:color w:val="000000" w:themeColor="text1"/>
              </w:rPr>
              <w:t xml:space="preserve">CAEP CCT: Diversity </w:t>
            </w:r>
          </w:p>
        </w:tc>
        <w:tc>
          <w:tcPr>
            <w:tcW w:w="2575" w:type="dxa"/>
          </w:tcPr>
          <w:p w14:paraId="6E143B43" w14:textId="77777777" w:rsidR="00D05D30" w:rsidRPr="00D05D30" w:rsidRDefault="00D05D30" w:rsidP="00B31192">
            <w:pPr>
              <w:pStyle w:val="NoSpacing"/>
            </w:pPr>
            <w:r w:rsidRPr="00D05D30">
              <w:t xml:space="preserve">Candidate uses specific differentiation strategies based on individual learner needs and includes supports that are tied to the learning objectives </w:t>
            </w:r>
          </w:p>
        </w:tc>
        <w:tc>
          <w:tcPr>
            <w:tcW w:w="2575" w:type="dxa"/>
          </w:tcPr>
          <w:p w14:paraId="19326996" w14:textId="77777777" w:rsidR="00D05D30" w:rsidRPr="00D05D30" w:rsidRDefault="00D05D30" w:rsidP="00B31192">
            <w:pPr>
              <w:pStyle w:val="NoSpacing"/>
            </w:pPr>
            <w:r w:rsidRPr="00D05D30">
              <w:t xml:space="preserve">Candidate uses specific differentiation strategies based on learners with similar needs and includes supports that are tied to the learning objectives </w:t>
            </w:r>
          </w:p>
        </w:tc>
        <w:tc>
          <w:tcPr>
            <w:tcW w:w="2575" w:type="dxa"/>
          </w:tcPr>
          <w:p w14:paraId="3E0956DD" w14:textId="77777777" w:rsidR="00D05D30" w:rsidRPr="00D05D30" w:rsidRDefault="00D05D30" w:rsidP="00B31192">
            <w:pPr>
              <w:pStyle w:val="NoSpacing"/>
            </w:pPr>
            <w:r w:rsidRPr="00D05D30">
              <w:t xml:space="preserve">Candidate uses vague differentiation strategies that do not address learners with similar needs and includes supports that are loosely tied to the learning objectives </w:t>
            </w:r>
          </w:p>
          <w:p w14:paraId="07563F0B" w14:textId="77777777" w:rsidR="00D05D30" w:rsidRPr="00D05D30" w:rsidRDefault="00D05D30" w:rsidP="00B31192">
            <w:pPr>
              <w:pStyle w:val="NoSpacing"/>
            </w:pPr>
          </w:p>
          <w:p w14:paraId="12BD4BE9" w14:textId="77777777" w:rsidR="00D05D30" w:rsidRPr="00D05D30" w:rsidRDefault="00D05D30" w:rsidP="00B31192">
            <w:pPr>
              <w:pStyle w:val="NoSpacing"/>
            </w:pPr>
          </w:p>
        </w:tc>
        <w:tc>
          <w:tcPr>
            <w:tcW w:w="2575" w:type="dxa"/>
          </w:tcPr>
          <w:p w14:paraId="0315E4FE" w14:textId="77777777" w:rsidR="00D05D30" w:rsidRPr="00D05D30" w:rsidRDefault="00D05D30" w:rsidP="00B31192">
            <w:pPr>
              <w:pStyle w:val="NoSpacing"/>
            </w:pPr>
            <w:r w:rsidRPr="00D05D30">
              <w:t>Candidate fails to include evidence of differentiation strategies for learners with similar needs</w:t>
            </w:r>
          </w:p>
        </w:tc>
        <w:tc>
          <w:tcPr>
            <w:tcW w:w="1440" w:type="dxa"/>
          </w:tcPr>
          <w:p w14:paraId="79FE925A" w14:textId="77777777" w:rsidR="00D05D30" w:rsidRPr="00D05D30" w:rsidRDefault="00D05D30" w:rsidP="00B31192">
            <w:pPr>
              <w:pStyle w:val="NoSpacing"/>
            </w:pPr>
          </w:p>
        </w:tc>
      </w:tr>
      <w:tr w:rsidR="00D05D30" w:rsidRPr="00D05D30" w14:paraId="0E3AA514" w14:textId="77777777" w:rsidTr="00B31192">
        <w:tc>
          <w:tcPr>
            <w:tcW w:w="1850" w:type="dxa"/>
          </w:tcPr>
          <w:p w14:paraId="0934C194"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Academic </w:t>
            </w:r>
          </w:p>
          <w:p w14:paraId="47F2FBEB"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Language </w:t>
            </w:r>
          </w:p>
          <w:p w14:paraId="4FB74634" w14:textId="77777777" w:rsidR="00D05D30" w:rsidRPr="00D05D30" w:rsidRDefault="00D05D30" w:rsidP="00B31192">
            <w:pPr>
              <w:pStyle w:val="NoSpacing"/>
            </w:pPr>
            <w:r w:rsidRPr="00D05D30">
              <w:t xml:space="preserve">JSU LO #2 </w:t>
            </w:r>
          </w:p>
          <w:p w14:paraId="450D1EF1" w14:textId="77777777" w:rsidR="00D05D30" w:rsidRPr="00D05D30" w:rsidRDefault="00D05D30" w:rsidP="00B31192">
            <w:pPr>
              <w:pStyle w:val="NoSpacing"/>
            </w:pPr>
            <w:proofErr w:type="spellStart"/>
            <w:r w:rsidRPr="00D05D30">
              <w:t>InTASC</w:t>
            </w:r>
            <w:proofErr w:type="spellEnd"/>
            <w:r w:rsidRPr="00D05D30">
              <w:t xml:space="preserve"> 1, 4, 7, 8 </w:t>
            </w:r>
          </w:p>
          <w:p w14:paraId="2368EC87" w14:textId="77777777" w:rsidR="00D05D30" w:rsidRPr="00D05D30" w:rsidRDefault="00D05D30" w:rsidP="00B31192">
            <w:pPr>
              <w:rPr>
                <w:rFonts w:eastAsiaTheme="minorEastAsia"/>
                <w:color w:val="000000" w:themeColor="text1"/>
              </w:rPr>
            </w:pPr>
            <w:r w:rsidRPr="00D05D30">
              <w:rPr>
                <w:rFonts w:eastAsiaTheme="minorEastAsia"/>
                <w:color w:val="000000" w:themeColor="text1"/>
              </w:rPr>
              <w:t xml:space="preserve">CAEP 1.1, 1.2, 1.3, 1.4, 2.3  </w:t>
            </w:r>
          </w:p>
          <w:p w14:paraId="0B46BCE1" w14:textId="77777777" w:rsidR="00D05D30" w:rsidRPr="00D05D30" w:rsidRDefault="00D05D30" w:rsidP="00B31192">
            <w:pPr>
              <w:pStyle w:val="NoSpacing"/>
            </w:pPr>
          </w:p>
        </w:tc>
        <w:tc>
          <w:tcPr>
            <w:tcW w:w="2575" w:type="dxa"/>
          </w:tcPr>
          <w:p w14:paraId="33C8C24E" w14:textId="77777777" w:rsidR="00D05D30" w:rsidRPr="00D05D30" w:rsidRDefault="00D05D30" w:rsidP="00B31192">
            <w:pPr>
              <w:pStyle w:val="NoSpacing"/>
            </w:pPr>
            <w:r w:rsidRPr="00D05D30">
              <w:t xml:space="preserve">Candidate provides purposeful opportunities for learners to learn, practice, and apply academic language in the content area through all modes of expression: reading, writing, speaking, and listening </w:t>
            </w:r>
          </w:p>
        </w:tc>
        <w:tc>
          <w:tcPr>
            <w:tcW w:w="2575" w:type="dxa"/>
          </w:tcPr>
          <w:p w14:paraId="37D2F783" w14:textId="77777777" w:rsidR="00D05D30" w:rsidRPr="00D05D30" w:rsidRDefault="00D05D30" w:rsidP="00B31192">
            <w:pPr>
              <w:pStyle w:val="NoSpacing"/>
            </w:pPr>
            <w:r w:rsidRPr="00D05D30">
              <w:t xml:space="preserve">Candidates provides of purposeful opportunities for learners to engage in academic language through a combination of modes of expression: reading, writing, speaking, or listening  </w:t>
            </w:r>
          </w:p>
        </w:tc>
        <w:tc>
          <w:tcPr>
            <w:tcW w:w="2575" w:type="dxa"/>
          </w:tcPr>
          <w:p w14:paraId="336E39E0" w14:textId="77777777" w:rsidR="00D05D30" w:rsidRPr="00D05D30" w:rsidRDefault="00D05D30" w:rsidP="00B31192">
            <w:pPr>
              <w:pStyle w:val="NoSpacing"/>
            </w:pPr>
            <w:r w:rsidRPr="00D05D30">
              <w:t xml:space="preserve">Candidate provides a purposeful opportunity for learners to engage in academic language through reading, writing, speaking, or listening </w:t>
            </w:r>
          </w:p>
        </w:tc>
        <w:tc>
          <w:tcPr>
            <w:tcW w:w="2575" w:type="dxa"/>
          </w:tcPr>
          <w:p w14:paraId="26AF25B0" w14:textId="77777777" w:rsidR="00D05D30" w:rsidRPr="00D05D30" w:rsidRDefault="00D05D30" w:rsidP="00B31192">
            <w:pPr>
              <w:pStyle w:val="NoSpacing"/>
            </w:pPr>
            <w:r w:rsidRPr="00D05D30">
              <w:t xml:space="preserve">Candidates fails to include opportunity for learners to engage in academic language use </w:t>
            </w:r>
          </w:p>
        </w:tc>
        <w:tc>
          <w:tcPr>
            <w:tcW w:w="1440" w:type="dxa"/>
          </w:tcPr>
          <w:p w14:paraId="28458637" w14:textId="77777777" w:rsidR="00D05D30" w:rsidRPr="00D05D30" w:rsidRDefault="00D05D30" w:rsidP="00B31192">
            <w:pPr>
              <w:pStyle w:val="NoSpacing"/>
            </w:pPr>
          </w:p>
        </w:tc>
      </w:tr>
      <w:tr w:rsidR="00D05D30" w:rsidRPr="00D05D30" w14:paraId="248DD44A" w14:textId="77777777" w:rsidTr="00B31192">
        <w:tc>
          <w:tcPr>
            <w:tcW w:w="1850" w:type="dxa"/>
          </w:tcPr>
          <w:p w14:paraId="7ADBB379" w14:textId="77777777" w:rsidR="00D05D30" w:rsidRPr="00D05D30" w:rsidRDefault="00D05D30" w:rsidP="00B31192">
            <w:pPr>
              <w:rPr>
                <w:rFonts w:eastAsiaTheme="minorEastAsia"/>
                <w:color w:val="000000" w:themeColor="text1"/>
              </w:rPr>
            </w:pPr>
            <w:r w:rsidRPr="00D05D30">
              <w:rPr>
                <w:rFonts w:eastAsiaTheme="minorEastAsia"/>
                <w:color w:val="000000" w:themeColor="text1"/>
                <w:sz w:val="24"/>
                <w:szCs w:val="24"/>
              </w:rPr>
              <w:t>Assessment</w:t>
            </w:r>
            <w:r w:rsidRPr="00D05D30">
              <w:rPr>
                <w:rFonts w:eastAsiaTheme="minorEastAsia"/>
                <w:color w:val="000000" w:themeColor="text1"/>
              </w:rPr>
              <w:t xml:space="preserve"> </w:t>
            </w:r>
          </w:p>
          <w:p w14:paraId="59812689" w14:textId="77777777" w:rsidR="00D05D30" w:rsidRPr="00D05D30" w:rsidRDefault="00D05D30" w:rsidP="00B31192">
            <w:r w:rsidRPr="00D05D30">
              <w:t>JSU LO #3</w:t>
            </w:r>
          </w:p>
          <w:p w14:paraId="4AB04018" w14:textId="77777777" w:rsidR="00D05D30" w:rsidRPr="00D05D30" w:rsidRDefault="00D05D30" w:rsidP="00B31192">
            <w:proofErr w:type="spellStart"/>
            <w:r w:rsidRPr="00D05D30">
              <w:t>InTASC</w:t>
            </w:r>
            <w:proofErr w:type="spellEnd"/>
            <w:r w:rsidRPr="00D05D30">
              <w:t xml:space="preserve"> 6 </w:t>
            </w:r>
          </w:p>
          <w:p w14:paraId="6697A8E4" w14:textId="77777777" w:rsidR="00D05D30" w:rsidRPr="00D05D30" w:rsidRDefault="00D05D30" w:rsidP="00B31192">
            <w:r w:rsidRPr="00D05D30">
              <w:t xml:space="preserve">CAEP 1.1, 1.2, 1.3, 1.4, 2.3 </w:t>
            </w:r>
          </w:p>
        </w:tc>
        <w:tc>
          <w:tcPr>
            <w:tcW w:w="2575" w:type="dxa"/>
          </w:tcPr>
          <w:p w14:paraId="63371A4D" w14:textId="77777777" w:rsidR="00D05D30" w:rsidRPr="00D05D30" w:rsidRDefault="00D05D30" w:rsidP="00B31192">
            <w:pPr>
              <w:pStyle w:val="NoSpacing"/>
            </w:pPr>
            <w:r w:rsidRPr="00D05D30">
              <w:t xml:space="preserve">Candidate includes assessment strategies that are aligned with the learning objectives and purposefully demonstrates monitoring of student learning at </w:t>
            </w:r>
            <w:r w:rsidRPr="00D05D30">
              <w:lastRenderedPageBreak/>
              <w:t>multiple points and through multiple forms throughout the lesson</w:t>
            </w:r>
          </w:p>
        </w:tc>
        <w:tc>
          <w:tcPr>
            <w:tcW w:w="2575" w:type="dxa"/>
          </w:tcPr>
          <w:p w14:paraId="53F8F641" w14:textId="77777777" w:rsidR="00D05D30" w:rsidRPr="00D05D30" w:rsidRDefault="00D05D30" w:rsidP="00B31192">
            <w:pPr>
              <w:pStyle w:val="NoSpacing"/>
            </w:pPr>
            <w:r w:rsidRPr="00D05D30">
              <w:lastRenderedPageBreak/>
              <w:t xml:space="preserve">Candidate includes assessment strategies that are aligned with the learning objectives and demonstrates monitoring student learning at </w:t>
            </w:r>
            <w:r w:rsidRPr="00D05D30">
              <w:lastRenderedPageBreak/>
              <w:t>multiple points throughout the lesson</w:t>
            </w:r>
          </w:p>
        </w:tc>
        <w:tc>
          <w:tcPr>
            <w:tcW w:w="2575" w:type="dxa"/>
          </w:tcPr>
          <w:p w14:paraId="110C063D" w14:textId="77777777" w:rsidR="00D05D30" w:rsidRPr="00D05D30" w:rsidRDefault="00D05D30" w:rsidP="00B31192">
            <w:pPr>
              <w:pStyle w:val="NoSpacing"/>
            </w:pPr>
            <w:r w:rsidRPr="00D05D30">
              <w:lastRenderedPageBreak/>
              <w:t xml:space="preserve">Candidate conducts  assessment that is aligned to the learning objectives and used to provide limited evidence of learning at a single point during or after the lesson  </w:t>
            </w:r>
          </w:p>
        </w:tc>
        <w:tc>
          <w:tcPr>
            <w:tcW w:w="2575" w:type="dxa"/>
          </w:tcPr>
          <w:p w14:paraId="155817D9" w14:textId="77777777" w:rsidR="00D05D30" w:rsidRPr="00D05D30" w:rsidRDefault="00D05D30" w:rsidP="00B31192">
            <w:pPr>
              <w:pStyle w:val="NoSpacing"/>
            </w:pPr>
            <w:r w:rsidRPr="00D05D30">
              <w:t xml:space="preserve">Candidate fails to include assessment that is aligned to the learning objectives  </w:t>
            </w:r>
          </w:p>
        </w:tc>
        <w:tc>
          <w:tcPr>
            <w:tcW w:w="1440" w:type="dxa"/>
          </w:tcPr>
          <w:p w14:paraId="6F979075" w14:textId="77777777" w:rsidR="00D05D30" w:rsidRPr="00D05D30" w:rsidRDefault="00D05D30" w:rsidP="00B31192">
            <w:pPr>
              <w:pStyle w:val="NoSpacing"/>
            </w:pPr>
          </w:p>
        </w:tc>
      </w:tr>
      <w:tr w:rsidR="00D05D30" w:rsidRPr="00D05D30" w14:paraId="7F7B4BF6" w14:textId="77777777" w:rsidTr="00B31192">
        <w:tc>
          <w:tcPr>
            <w:tcW w:w="1850" w:type="dxa"/>
          </w:tcPr>
          <w:p w14:paraId="7015D10E" w14:textId="77777777" w:rsidR="00D05D30" w:rsidRPr="00D05D30" w:rsidRDefault="00D05D30" w:rsidP="00B31192">
            <w:pPr>
              <w:rPr>
                <w:rFonts w:eastAsiaTheme="minorEastAsia"/>
                <w:color w:val="000000" w:themeColor="text1"/>
                <w:sz w:val="24"/>
                <w:szCs w:val="24"/>
              </w:rPr>
            </w:pPr>
            <w:r w:rsidRPr="00D05D30">
              <w:rPr>
                <w:rFonts w:eastAsiaTheme="minorEastAsia"/>
                <w:color w:val="000000" w:themeColor="text1"/>
                <w:sz w:val="24"/>
                <w:szCs w:val="24"/>
              </w:rPr>
              <w:t xml:space="preserve">Technology </w:t>
            </w:r>
          </w:p>
          <w:p w14:paraId="1001EC71" w14:textId="77777777" w:rsidR="00D05D30" w:rsidRPr="00D05D30" w:rsidRDefault="00D05D30" w:rsidP="00B31192">
            <w:pPr>
              <w:pStyle w:val="NoSpacing"/>
            </w:pPr>
            <w:r w:rsidRPr="00D05D30">
              <w:t xml:space="preserve">JSU LO #2 </w:t>
            </w:r>
          </w:p>
          <w:p w14:paraId="34D86353" w14:textId="77777777" w:rsidR="00D05D30" w:rsidRPr="00D05D30" w:rsidRDefault="00D05D30" w:rsidP="00B31192">
            <w:pPr>
              <w:pStyle w:val="NoSpacing"/>
            </w:pPr>
            <w:proofErr w:type="spellStart"/>
            <w:r w:rsidRPr="00D05D30">
              <w:t>InTASC</w:t>
            </w:r>
            <w:proofErr w:type="spellEnd"/>
            <w:r w:rsidRPr="00D05D30">
              <w:t xml:space="preserve"> 1, 7, 8</w:t>
            </w:r>
          </w:p>
          <w:p w14:paraId="6C672A70" w14:textId="77777777" w:rsidR="00D05D30" w:rsidRPr="00D05D30" w:rsidRDefault="00D05D30" w:rsidP="00B31192">
            <w:pPr>
              <w:pStyle w:val="NoSpacing"/>
            </w:pPr>
            <w:r w:rsidRPr="00D05D30">
              <w:t xml:space="preserve">CAEP 1.5 </w:t>
            </w:r>
          </w:p>
          <w:p w14:paraId="4CD3E8DF" w14:textId="77777777" w:rsidR="00D05D30" w:rsidRPr="00D05D30" w:rsidRDefault="00D05D30" w:rsidP="00B31192">
            <w:pPr>
              <w:pStyle w:val="NoSpacing"/>
              <w:rPr>
                <w:caps/>
              </w:rPr>
            </w:pPr>
            <w:r w:rsidRPr="00D05D30">
              <w:t>C</w:t>
            </w:r>
            <w:r w:rsidRPr="00D05D30">
              <w:rPr>
                <w:caps/>
              </w:rPr>
              <w:t xml:space="preserve">AEP CCT: </w:t>
            </w:r>
          </w:p>
          <w:p w14:paraId="78999949" w14:textId="77777777" w:rsidR="00D05D30" w:rsidRPr="00D05D30" w:rsidRDefault="00D05D30" w:rsidP="00B31192">
            <w:r w:rsidRPr="00D05D30">
              <w:t xml:space="preserve">Technology </w:t>
            </w:r>
          </w:p>
          <w:p w14:paraId="379A8366" w14:textId="77777777" w:rsidR="00D05D30" w:rsidRPr="00D05D30" w:rsidRDefault="00D05D30" w:rsidP="00B31192">
            <w:pPr>
              <w:pStyle w:val="NoSpacing"/>
            </w:pPr>
          </w:p>
        </w:tc>
        <w:tc>
          <w:tcPr>
            <w:tcW w:w="2575" w:type="dxa"/>
          </w:tcPr>
          <w:p w14:paraId="3DAFBFE3" w14:textId="77777777" w:rsidR="00D05D30" w:rsidRPr="00D05D30" w:rsidRDefault="00D05D30" w:rsidP="00B31192">
            <w:pPr>
              <w:pStyle w:val="NoSpacing"/>
            </w:pPr>
            <w:r w:rsidRPr="00D05D30">
              <w:t>Candidate provides ample opportunities for   technology integration as a student-managed resource to demonstrate learner understanding and application of learning objectives</w:t>
            </w:r>
          </w:p>
        </w:tc>
        <w:tc>
          <w:tcPr>
            <w:tcW w:w="2575" w:type="dxa"/>
          </w:tcPr>
          <w:p w14:paraId="1A614D85" w14:textId="77777777" w:rsidR="00D05D30" w:rsidRPr="00D05D30" w:rsidRDefault="00D05D30" w:rsidP="00B31192">
            <w:pPr>
              <w:pStyle w:val="NoSpacing"/>
            </w:pPr>
            <w:r w:rsidRPr="00D05D30">
              <w:t xml:space="preserve">Candidate provides limited use of technology integration as a student-managed resource to enhance learner understanding of learning objectives </w:t>
            </w:r>
          </w:p>
          <w:p w14:paraId="21E7A9EE" w14:textId="77777777" w:rsidR="00D05D30" w:rsidRPr="00D05D30" w:rsidRDefault="00D05D30" w:rsidP="00B31192"/>
        </w:tc>
        <w:tc>
          <w:tcPr>
            <w:tcW w:w="2575" w:type="dxa"/>
          </w:tcPr>
          <w:p w14:paraId="4F6ED54B" w14:textId="77777777" w:rsidR="00D05D30" w:rsidRPr="00D05D30" w:rsidRDefault="00D05D30" w:rsidP="00B31192">
            <w:pPr>
              <w:pStyle w:val="NoSpacing"/>
            </w:pPr>
            <w:r w:rsidRPr="00D05D30">
              <w:t xml:space="preserve">Candidate demonstrates use of technology as a teacher-managed resource to enhance learner understanding of learning objectives </w:t>
            </w:r>
          </w:p>
        </w:tc>
        <w:tc>
          <w:tcPr>
            <w:tcW w:w="2575" w:type="dxa"/>
          </w:tcPr>
          <w:p w14:paraId="69F9832C" w14:textId="77777777" w:rsidR="00D05D30" w:rsidRPr="00D05D30" w:rsidRDefault="00D05D30" w:rsidP="00B31192">
            <w:pPr>
              <w:pStyle w:val="NoSpacing"/>
            </w:pPr>
            <w:r w:rsidRPr="00D05D30">
              <w:t>Candidate fails to include appropriate technology integration</w:t>
            </w:r>
          </w:p>
        </w:tc>
        <w:tc>
          <w:tcPr>
            <w:tcW w:w="1440" w:type="dxa"/>
          </w:tcPr>
          <w:p w14:paraId="242A2287" w14:textId="77777777" w:rsidR="00D05D30" w:rsidRPr="00D05D30" w:rsidRDefault="00D05D30" w:rsidP="00B31192">
            <w:pPr>
              <w:pStyle w:val="NoSpacing"/>
            </w:pPr>
          </w:p>
        </w:tc>
      </w:tr>
    </w:tbl>
    <w:p w14:paraId="4FA73ECD" w14:textId="77777777" w:rsidR="00D05D30" w:rsidRPr="00D05D30" w:rsidRDefault="00D05D30" w:rsidP="00E53BF6"/>
    <w:sectPr w:rsidR="00D05D30" w:rsidRPr="00D05D30" w:rsidSect="00E77B9E">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175F9" w14:textId="77777777" w:rsidR="00407D8D" w:rsidRDefault="00407D8D" w:rsidP="00B15604">
      <w:pPr>
        <w:spacing w:after="0" w:line="240" w:lineRule="auto"/>
      </w:pPr>
      <w:r>
        <w:separator/>
      </w:r>
    </w:p>
  </w:endnote>
  <w:endnote w:type="continuationSeparator" w:id="0">
    <w:p w14:paraId="123C766D" w14:textId="77777777" w:rsidR="00407D8D" w:rsidRDefault="00407D8D" w:rsidP="00B1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F44" w14:textId="2B1AF080" w:rsidR="00B15604" w:rsidRDefault="320A018C">
    <w:pPr>
      <w:pStyle w:val="Footer"/>
    </w:pPr>
    <w:r>
      <w:t>CAEP Committee Approved 1/24/18</w:t>
    </w:r>
    <w:r w:rsidR="00D05D30">
      <w:t>, 5/16/19, 12/18/19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A40D" w14:textId="77777777" w:rsidR="00407D8D" w:rsidRDefault="00407D8D" w:rsidP="00B15604">
      <w:pPr>
        <w:spacing w:after="0" w:line="240" w:lineRule="auto"/>
      </w:pPr>
      <w:r>
        <w:separator/>
      </w:r>
    </w:p>
  </w:footnote>
  <w:footnote w:type="continuationSeparator" w:id="0">
    <w:p w14:paraId="1B9CE28D" w14:textId="77777777" w:rsidR="00407D8D" w:rsidRDefault="00407D8D" w:rsidP="00B1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320"/>
      <w:gridCol w:w="4320"/>
    </w:tblGrid>
    <w:tr w:rsidR="3062CDE5" w14:paraId="4318A443" w14:textId="77777777" w:rsidTr="3062CDE5">
      <w:tc>
        <w:tcPr>
          <w:tcW w:w="4320" w:type="dxa"/>
        </w:tcPr>
        <w:p w14:paraId="1CDF80FC" w14:textId="297101FE" w:rsidR="3062CDE5" w:rsidRDefault="3062CDE5" w:rsidP="3062CDE5">
          <w:pPr>
            <w:pStyle w:val="Header"/>
            <w:jc w:val="center"/>
          </w:pPr>
        </w:p>
      </w:tc>
      <w:tc>
        <w:tcPr>
          <w:tcW w:w="4320" w:type="dxa"/>
        </w:tcPr>
        <w:p w14:paraId="65033226" w14:textId="1EF2BE4D" w:rsidR="3062CDE5" w:rsidRDefault="3062CDE5" w:rsidP="3062CDE5">
          <w:pPr>
            <w:pStyle w:val="Header"/>
            <w:ind w:right="-115"/>
            <w:jc w:val="right"/>
          </w:pPr>
        </w:p>
      </w:tc>
    </w:tr>
  </w:tbl>
  <w:p w14:paraId="74039322" w14:textId="1870BF02" w:rsidR="3062CDE5" w:rsidRDefault="3062CDE5" w:rsidP="3062C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9E"/>
    <w:rsid w:val="00001A17"/>
    <w:rsid w:val="00083907"/>
    <w:rsid w:val="000D3E39"/>
    <w:rsid w:val="000E1D26"/>
    <w:rsid w:val="001A53BF"/>
    <w:rsid w:val="001B2909"/>
    <w:rsid w:val="001F6E23"/>
    <w:rsid w:val="002762DE"/>
    <w:rsid w:val="003311D8"/>
    <w:rsid w:val="00335986"/>
    <w:rsid w:val="003A7A7B"/>
    <w:rsid w:val="003B3C82"/>
    <w:rsid w:val="0040447E"/>
    <w:rsid w:val="00407D8D"/>
    <w:rsid w:val="00495C57"/>
    <w:rsid w:val="004B33C0"/>
    <w:rsid w:val="004C662F"/>
    <w:rsid w:val="0055588E"/>
    <w:rsid w:val="005F50CE"/>
    <w:rsid w:val="006152D7"/>
    <w:rsid w:val="00651062"/>
    <w:rsid w:val="006D690B"/>
    <w:rsid w:val="00830985"/>
    <w:rsid w:val="00903DDD"/>
    <w:rsid w:val="00A05079"/>
    <w:rsid w:val="00A203B6"/>
    <w:rsid w:val="00A40DCE"/>
    <w:rsid w:val="00A45DCA"/>
    <w:rsid w:val="00B15604"/>
    <w:rsid w:val="00B34F3F"/>
    <w:rsid w:val="00BB28CB"/>
    <w:rsid w:val="00D05D30"/>
    <w:rsid w:val="00D363E3"/>
    <w:rsid w:val="00E45A70"/>
    <w:rsid w:val="00E53BF6"/>
    <w:rsid w:val="00E77B9E"/>
    <w:rsid w:val="00EB0F6D"/>
    <w:rsid w:val="00F12564"/>
    <w:rsid w:val="00F1463A"/>
    <w:rsid w:val="00F437D5"/>
    <w:rsid w:val="00FB21FF"/>
    <w:rsid w:val="3062CDE5"/>
    <w:rsid w:val="320A018C"/>
    <w:rsid w:val="64D2F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B579"/>
  <w15:chartTrackingRefBased/>
  <w15:docId w15:val="{B7C53A95-052D-4646-B474-6C3887A6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9E"/>
    <w:pPr>
      <w:spacing w:after="0" w:line="240" w:lineRule="auto"/>
    </w:pPr>
  </w:style>
  <w:style w:type="table" w:styleId="TableGrid">
    <w:name w:val="Table Grid"/>
    <w:basedOn w:val="TableNormal"/>
    <w:uiPriority w:val="39"/>
    <w:rsid w:val="00E7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B"/>
    <w:rPr>
      <w:rFonts w:ascii="Segoe UI" w:hAnsi="Segoe UI" w:cs="Segoe UI"/>
      <w:sz w:val="18"/>
      <w:szCs w:val="18"/>
    </w:rPr>
  </w:style>
  <w:style w:type="paragraph" w:styleId="Header">
    <w:name w:val="header"/>
    <w:basedOn w:val="Normal"/>
    <w:link w:val="HeaderChar"/>
    <w:uiPriority w:val="99"/>
    <w:unhideWhenUsed/>
    <w:rsid w:val="00B15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604"/>
  </w:style>
  <w:style w:type="paragraph" w:styleId="Footer">
    <w:name w:val="footer"/>
    <w:basedOn w:val="Normal"/>
    <w:link w:val="FooterChar"/>
    <w:uiPriority w:val="99"/>
    <w:unhideWhenUsed/>
    <w:rsid w:val="00B15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EC320E0117EF469A3B675D250E8B7C" ma:contentTypeVersion="17" ma:contentTypeDescription="Create a new document." ma:contentTypeScope="" ma:versionID="4e883a45a5cc8ea7572d1f8d2135bee4">
  <xsd:schema xmlns:xsd="http://www.w3.org/2001/XMLSchema" xmlns:xs="http://www.w3.org/2001/XMLSchema" xmlns:p="http://schemas.microsoft.com/office/2006/metadata/properties" xmlns:ns1="http://schemas.microsoft.com/sharepoint/v3" xmlns:ns3="1bc145a8-5753-49ca-94cd-a5dd4d66c626" xmlns:ns4="ee507c16-27a7-4082-b5d5-4c36557e3b99" targetNamespace="http://schemas.microsoft.com/office/2006/metadata/properties" ma:root="true" ma:fieldsID="44d0360d5ceab24d50ee8cd9463862da" ns1:_="" ns3:_="" ns4:_="">
    <xsd:import namespace="http://schemas.microsoft.com/sharepoint/v3"/>
    <xsd:import namespace="1bc145a8-5753-49ca-94cd-a5dd4d66c626"/>
    <xsd:import namespace="ee507c16-27a7-4082-b5d5-4c36557e3b9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145a8-5753-49ca-94cd-a5dd4d66c6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507c16-27a7-4082-b5d5-4c36557e3b9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2FFCA-E613-47FA-9394-A30F480F074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ED709E6-54FB-4B74-9245-2873F4E82AC8}">
  <ds:schemaRefs>
    <ds:schemaRef ds:uri="http://schemas.microsoft.com/sharepoint/v3/contenttype/forms"/>
  </ds:schemaRefs>
</ds:datastoreItem>
</file>

<file path=customXml/itemProps3.xml><?xml version="1.0" encoding="utf-8"?>
<ds:datastoreItem xmlns:ds="http://schemas.openxmlformats.org/officeDocument/2006/customXml" ds:itemID="{D551BB78-83B7-4B67-9E99-EDDD77C8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145a8-5753-49ca-94cd-a5dd4d66c626"/>
    <ds:schemaRef ds:uri="ee507c16-27a7-4082-b5d5-4c36557e3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Bavonese</dc:creator>
  <cp:keywords/>
  <dc:description/>
  <cp:lastModifiedBy>Deanna Bohannon</cp:lastModifiedBy>
  <cp:revision>4</cp:revision>
  <cp:lastPrinted>2019-07-25T17:17:00Z</cp:lastPrinted>
  <dcterms:created xsi:type="dcterms:W3CDTF">2021-07-23T13:28:00Z</dcterms:created>
  <dcterms:modified xsi:type="dcterms:W3CDTF">2021-07-23T13:29:00Z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0x010100C7EC320E0117EF469A3B675D250E8B7C</vt:lpwstr>
  </property>
</Properties>
</file>